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1A8" w:rsidRPr="00DC01A8" w:rsidRDefault="00DC01A8" w:rsidP="00DC01A8">
      <w:pPr>
        <w:pStyle w:val="Paragraphedeliste"/>
        <w:numPr>
          <w:ilvl w:val="0"/>
          <w:numId w:val="3"/>
        </w:numPr>
        <w:rPr>
          <w:rFonts w:ascii="Times New Roman" w:hAnsi="Times New Roman" w:cs="Times New Roman"/>
          <w:b/>
          <w:sz w:val="20"/>
          <w:szCs w:val="20"/>
          <w:u w:val="single"/>
        </w:rPr>
      </w:pPr>
      <w:r w:rsidRPr="00DC01A8">
        <w:rPr>
          <w:rFonts w:ascii="Times New Roman" w:hAnsi="Times New Roman" w:cs="Times New Roman"/>
          <w:b/>
          <w:sz w:val="20"/>
          <w:szCs w:val="20"/>
          <w:u w:val="single"/>
        </w:rPr>
        <w:t>Le contexte marseillais. Marseille : ville inégalitaire</w:t>
      </w:r>
    </w:p>
    <w:p w:rsidR="00DC01A8" w:rsidRPr="00DC01A8" w:rsidRDefault="00DC01A8" w:rsidP="00DC01A8">
      <w:pPr>
        <w:jc w:val="both"/>
        <w:rPr>
          <w:rFonts w:ascii="Times New Roman" w:hAnsi="Times New Roman" w:cs="Times New Roman"/>
          <w:sz w:val="20"/>
          <w:szCs w:val="20"/>
        </w:rPr>
      </w:pPr>
      <w:r w:rsidRPr="00DC01A8">
        <w:rPr>
          <w:rFonts w:ascii="Times New Roman" w:hAnsi="Times New Roman" w:cs="Times New Roman"/>
          <w:sz w:val="20"/>
          <w:szCs w:val="20"/>
        </w:rPr>
        <w:t xml:space="preserve">La ville de Marseille cumule de tristes records, d’inégalités sociales, d’inégalités d’accès aux études et à l’emploi….pourtant elle possède de nombreux atouts ! </w:t>
      </w:r>
    </w:p>
    <w:p w:rsidR="00DC01A8" w:rsidRPr="00DC01A8" w:rsidRDefault="00DC01A8" w:rsidP="00DC01A8">
      <w:pPr>
        <w:pStyle w:val="Paragraphedeliste"/>
        <w:numPr>
          <w:ilvl w:val="0"/>
          <w:numId w:val="1"/>
        </w:numPr>
        <w:rPr>
          <w:rFonts w:ascii="Times New Roman" w:hAnsi="Times New Roman" w:cs="Times New Roman"/>
          <w:b/>
          <w:color w:val="FF0000"/>
          <w:sz w:val="20"/>
          <w:szCs w:val="20"/>
        </w:rPr>
      </w:pPr>
      <w:r w:rsidRPr="00DC01A8">
        <w:rPr>
          <w:rFonts w:ascii="Times New Roman" w:hAnsi="Times New Roman" w:cs="Times New Roman"/>
          <w:b/>
          <w:color w:val="FF0000"/>
          <w:sz w:val="20"/>
          <w:szCs w:val="20"/>
        </w:rPr>
        <w:t xml:space="preserve">Des disparités sociales plus fortes qu’ailleurs </w:t>
      </w:r>
    </w:p>
    <w:p w:rsidR="00DC01A8" w:rsidRPr="00DC01A8" w:rsidRDefault="00DC01A8" w:rsidP="00DC01A8">
      <w:pPr>
        <w:jc w:val="both"/>
        <w:rPr>
          <w:rFonts w:ascii="Times New Roman" w:hAnsi="Times New Roman" w:cs="Times New Roman"/>
          <w:sz w:val="20"/>
          <w:szCs w:val="20"/>
        </w:rPr>
      </w:pPr>
      <w:r w:rsidRPr="00DC01A8">
        <w:rPr>
          <w:rFonts w:ascii="Times New Roman" w:hAnsi="Times New Roman" w:cs="Times New Roman"/>
          <w:sz w:val="20"/>
          <w:szCs w:val="20"/>
        </w:rPr>
        <w:t>La situation sociale y est préoccupante et se traduit par de grandes différences de qualification, de conditions de vie, de niveaux de revenus qui touchent encore plus les femmes que les hommes. Une personne sur 5 vit dans un foyer à bas revenu, 37% des allocataires de la CAF n’ont pour seules ressources que les prestations sociales</w:t>
      </w:r>
      <w:r w:rsidRPr="00DC01A8">
        <w:rPr>
          <w:rStyle w:val="Appeldenotedefin"/>
          <w:rFonts w:ascii="Times New Roman" w:hAnsi="Times New Roman" w:cs="Times New Roman"/>
          <w:sz w:val="20"/>
          <w:szCs w:val="20"/>
        </w:rPr>
        <w:endnoteReference w:id="2"/>
      </w:r>
      <w:r w:rsidRPr="00DC01A8">
        <w:rPr>
          <w:rFonts w:ascii="Times New Roman" w:hAnsi="Times New Roman" w:cs="Times New Roman"/>
          <w:sz w:val="20"/>
          <w:szCs w:val="20"/>
        </w:rPr>
        <w:t xml:space="preserve"> …</w:t>
      </w:r>
    </w:p>
    <w:p w:rsidR="00DC01A8" w:rsidRPr="00DC01A8" w:rsidRDefault="00DC01A8" w:rsidP="00DC01A8">
      <w:pPr>
        <w:jc w:val="both"/>
        <w:rPr>
          <w:rFonts w:ascii="Times New Roman" w:hAnsi="Times New Roman" w:cs="Times New Roman"/>
          <w:sz w:val="20"/>
          <w:szCs w:val="20"/>
        </w:rPr>
      </w:pPr>
      <w:r w:rsidRPr="00DC01A8">
        <w:rPr>
          <w:rFonts w:ascii="Times New Roman" w:hAnsi="Times New Roman" w:cs="Times New Roman"/>
          <w:sz w:val="20"/>
          <w:szCs w:val="20"/>
        </w:rPr>
        <w:t>Marseille fait partie des 10 villes les plus inégalitaires en France</w:t>
      </w:r>
      <w:r w:rsidRPr="00DC01A8">
        <w:rPr>
          <w:rStyle w:val="Appeldenotedefin"/>
          <w:rFonts w:ascii="Times New Roman" w:hAnsi="Times New Roman" w:cs="Times New Roman"/>
          <w:sz w:val="20"/>
          <w:szCs w:val="20"/>
        </w:rPr>
        <w:endnoteReference w:id="3"/>
      </w:r>
      <w:r w:rsidRPr="00DC01A8">
        <w:rPr>
          <w:rFonts w:ascii="Times New Roman" w:hAnsi="Times New Roman" w:cs="Times New Roman"/>
          <w:sz w:val="20"/>
          <w:szCs w:val="20"/>
        </w:rPr>
        <w:t> :</w:t>
      </w:r>
    </w:p>
    <w:p w:rsidR="00DC01A8" w:rsidRPr="00DC01A8" w:rsidRDefault="00DC01A8" w:rsidP="00DC01A8">
      <w:pPr>
        <w:pStyle w:val="Paragraphedeliste"/>
        <w:numPr>
          <w:ilvl w:val="0"/>
          <w:numId w:val="2"/>
        </w:numPr>
        <w:jc w:val="both"/>
        <w:rPr>
          <w:rFonts w:ascii="Times New Roman" w:hAnsi="Times New Roman" w:cs="Times New Roman"/>
          <w:sz w:val="20"/>
          <w:szCs w:val="20"/>
        </w:rPr>
      </w:pPr>
      <w:r w:rsidRPr="00DC01A8">
        <w:rPr>
          <w:rFonts w:ascii="Times New Roman" w:hAnsi="Times New Roman" w:cs="Times New Roman"/>
          <w:sz w:val="20"/>
          <w:szCs w:val="20"/>
        </w:rPr>
        <w:t xml:space="preserve">28% des habitants (44% des enfants), vivent en dessous du seuil de pauvreté, la moitié des foyers ne sont pas soumis à l’impôt sur le revenu et plus de 80% de la population est éligible à un logement social. </w:t>
      </w:r>
    </w:p>
    <w:p w:rsidR="00DC01A8" w:rsidRPr="00DC01A8" w:rsidRDefault="00DC01A8" w:rsidP="00DC01A8">
      <w:pPr>
        <w:pStyle w:val="Paragraphedeliste"/>
        <w:numPr>
          <w:ilvl w:val="0"/>
          <w:numId w:val="2"/>
        </w:numPr>
        <w:jc w:val="both"/>
        <w:rPr>
          <w:rFonts w:ascii="Times New Roman" w:hAnsi="Times New Roman" w:cs="Times New Roman"/>
          <w:sz w:val="20"/>
          <w:szCs w:val="20"/>
        </w:rPr>
      </w:pPr>
      <w:r w:rsidRPr="00DC01A8">
        <w:rPr>
          <w:rFonts w:ascii="Times New Roman" w:hAnsi="Times New Roman" w:cs="Times New Roman"/>
          <w:sz w:val="20"/>
          <w:szCs w:val="20"/>
        </w:rPr>
        <w:t xml:space="preserve">6635 contribuables sont soumis à l’ISF avec un patrimoine moyen de 1,73 million d’euros. </w:t>
      </w:r>
    </w:p>
    <w:p w:rsidR="00DC01A8" w:rsidRPr="00DC01A8" w:rsidRDefault="00DC01A8" w:rsidP="00DC01A8">
      <w:pPr>
        <w:jc w:val="both"/>
        <w:rPr>
          <w:rFonts w:ascii="Times New Roman" w:hAnsi="Times New Roman" w:cs="Times New Roman"/>
          <w:sz w:val="20"/>
          <w:szCs w:val="20"/>
        </w:rPr>
      </w:pPr>
      <w:r w:rsidRPr="00DC01A8">
        <w:rPr>
          <w:rFonts w:ascii="Times New Roman" w:hAnsi="Times New Roman" w:cs="Times New Roman"/>
          <w:sz w:val="20"/>
          <w:szCs w:val="20"/>
        </w:rPr>
        <w:t>En 2007, les 10% des Marseillais les plus riches déclaraient 14,3 fois plus que les 10% les plus pauvres. Ces inégalités se sont aggravées récemment : l’échelle des revenus est de 1 à 15 en 2011</w:t>
      </w:r>
      <w:r w:rsidRPr="00DC01A8">
        <w:rPr>
          <w:rStyle w:val="Appeldenotedefin"/>
          <w:rFonts w:ascii="Times New Roman" w:hAnsi="Times New Roman" w:cs="Times New Roman"/>
          <w:sz w:val="20"/>
          <w:szCs w:val="20"/>
        </w:rPr>
        <w:endnoteReference w:id="4"/>
      </w:r>
      <w:r w:rsidRPr="00DC01A8">
        <w:rPr>
          <w:rFonts w:ascii="Times New Roman" w:hAnsi="Times New Roman" w:cs="Times New Roman"/>
          <w:sz w:val="20"/>
          <w:szCs w:val="20"/>
        </w:rPr>
        <w:t>.</w:t>
      </w:r>
    </w:p>
    <w:p w:rsidR="00DC01A8" w:rsidRPr="00DC01A8" w:rsidRDefault="00DC01A8" w:rsidP="00DC01A8">
      <w:pPr>
        <w:jc w:val="both"/>
        <w:rPr>
          <w:rFonts w:ascii="Times New Roman" w:hAnsi="Times New Roman" w:cs="Times New Roman"/>
          <w:sz w:val="20"/>
          <w:szCs w:val="20"/>
        </w:rPr>
      </w:pPr>
      <w:r w:rsidRPr="00DC01A8">
        <w:rPr>
          <w:rFonts w:ascii="Times New Roman" w:hAnsi="Times New Roman" w:cs="Times New Roman"/>
          <w:sz w:val="20"/>
          <w:szCs w:val="20"/>
        </w:rPr>
        <w:t>A Marseille, on trouve les quartiers (au sens de l’INSEE) parmi les plus pauvres de France mais aussi parmi les plus riches.</w:t>
      </w:r>
    </w:p>
    <w:p w:rsidR="00DC01A8" w:rsidRPr="00DC01A8" w:rsidRDefault="00DC01A8" w:rsidP="00DC01A8">
      <w:pPr>
        <w:pStyle w:val="Paragraphedeliste"/>
        <w:numPr>
          <w:ilvl w:val="0"/>
          <w:numId w:val="1"/>
        </w:numPr>
        <w:rPr>
          <w:rFonts w:ascii="Times New Roman" w:hAnsi="Times New Roman" w:cs="Times New Roman"/>
          <w:b/>
          <w:color w:val="FF0000"/>
          <w:sz w:val="20"/>
          <w:szCs w:val="20"/>
        </w:rPr>
      </w:pPr>
      <w:r w:rsidRPr="00DC01A8">
        <w:rPr>
          <w:rFonts w:ascii="Times New Roman" w:hAnsi="Times New Roman" w:cs="Times New Roman"/>
          <w:b/>
          <w:color w:val="FF0000"/>
          <w:sz w:val="20"/>
          <w:szCs w:val="20"/>
        </w:rPr>
        <w:t xml:space="preserve">Emploi : Taux de chômage élevé et chômage longue durée important </w:t>
      </w:r>
    </w:p>
    <w:p w:rsidR="00DC01A8" w:rsidRPr="00DC01A8" w:rsidRDefault="00DC01A8" w:rsidP="00DC01A8">
      <w:pPr>
        <w:jc w:val="both"/>
        <w:rPr>
          <w:rFonts w:ascii="Times New Roman" w:hAnsi="Times New Roman" w:cs="Times New Roman"/>
          <w:sz w:val="20"/>
          <w:szCs w:val="20"/>
        </w:rPr>
      </w:pPr>
      <w:r w:rsidRPr="00DC01A8">
        <w:rPr>
          <w:rFonts w:ascii="Times New Roman" w:hAnsi="Times New Roman" w:cs="Times New Roman"/>
          <w:sz w:val="20"/>
          <w:szCs w:val="20"/>
        </w:rPr>
        <w:t>Avec près de 1300 000 habitants en 2008</w:t>
      </w:r>
      <w:r w:rsidRPr="00DC01A8">
        <w:rPr>
          <w:rFonts w:ascii="Times New Roman" w:hAnsi="Times New Roman" w:cs="Times New Roman"/>
          <w:b/>
          <w:sz w:val="20"/>
          <w:szCs w:val="20"/>
        </w:rPr>
        <w:t xml:space="preserve">,  </w:t>
      </w:r>
      <w:r w:rsidRPr="00DC01A8">
        <w:rPr>
          <w:rFonts w:ascii="Times New Roman" w:hAnsi="Times New Roman" w:cs="Times New Roman"/>
          <w:sz w:val="20"/>
          <w:szCs w:val="20"/>
        </w:rPr>
        <w:t>soit plus d’1/4 de la population régionale, la zone d’emploi Marseille-Aubagne est la plus importante de la région.  La zone d’emploi prend ici tout son sens : 90% des actifs travaillent dans leur zone de résidence.</w:t>
      </w:r>
    </w:p>
    <w:p w:rsidR="00DC01A8" w:rsidRPr="00DC01A8" w:rsidRDefault="00DC01A8" w:rsidP="00DC01A8">
      <w:pPr>
        <w:jc w:val="both"/>
        <w:rPr>
          <w:rFonts w:ascii="Times New Roman" w:hAnsi="Times New Roman" w:cs="Times New Roman"/>
          <w:sz w:val="20"/>
          <w:szCs w:val="20"/>
        </w:rPr>
      </w:pPr>
      <w:r w:rsidRPr="00DC01A8">
        <w:rPr>
          <w:rFonts w:ascii="Times New Roman" w:hAnsi="Times New Roman" w:cs="Times New Roman"/>
          <w:sz w:val="20"/>
          <w:szCs w:val="20"/>
        </w:rPr>
        <w:t xml:space="preserve">L’ensemble des secteurs économiques est présent à Marseille. Les femmes représentent la moitié des emplois et les 25-35 ans plus des ¾. Le territoire attire davantage les jeunes de moins de 26 ans, les cadres et les professions intellectuelles supérieures et les personnes sans activité professionnelle (hors retraités) qu’en région. Au niveau des qualifications, la part des ouvriers et employés prédomine mais celle des professions intermédiaires et des professions intellectuelles supérieures y est plus importante qu’en région. La présence du secteur administratif et de la fonction publique garantit une forme de stabilité de l’emploi pour une partie de la population et un marché du travail plus ouvert aux femmes. </w:t>
      </w:r>
    </w:p>
    <w:p w:rsidR="00DC01A8" w:rsidRPr="00DC01A8" w:rsidRDefault="00DC01A8" w:rsidP="00DC01A8">
      <w:pPr>
        <w:jc w:val="both"/>
        <w:rPr>
          <w:rFonts w:ascii="Times New Roman" w:hAnsi="Times New Roman" w:cs="Times New Roman"/>
          <w:sz w:val="20"/>
          <w:szCs w:val="20"/>
        </w:rPr>
      </w:pPr>
      <w:r w:rsidRPr="00DC01A8">
        <w:rPr>
          <w:rFonts w:ascii="Times New Roman" w:hAnsi="Times New Roman" w:cs="Times New Roman"/>
          <w:sz w:val="20"/>
          <w:szCs w:val="20"/>
        </w:rPr>
        <w:t>Pourtant, de 1998 à 2009, l’emploi local n’a pas vraiment progressé. Les tensions sur le marché du travail sont particulièrement fortes avec un taux de chômage élevé et un chômage de longue durée important. Au 4</w:t>
      </w:r>
      <w:r w:rsidRPr="00DC01A8">
        <w:rPr>
          <w:rFonts w:ascii="Times New Roman" w:hAnsi="Times New Roman" w:cs="Times New Roman"/>
          <w:sz w:val="20"/>
          <w:szCs w:val="20"/>
          <w:vertAlign w:val="superscript"/>
        </w:rPr>
        <w:t>ème</w:t>
      </w:r>
      <w:r w:rsidRPr="00DC01A8">
        <w:rPr>
          <w:rFonts w:ascii="Times New Roman" w:hAnsi="Times New Roman" w:cs="Times New Roman"/>
          <w:sz w:val="20"/>
          <w:szCs w:val="20"/>
        </w:rPr>
        <w:t xml:space="preserve"> trimestre 2011, le taux de chômage s’élève à 12, 8% contre 11,2% en région PACA (en 2013, 13,5% contre 10,5 au niveau national) avec des disparités très importantes selon les arrondissements, au-delà de 30% dans les 1er, 2</w:t>
      </w:r>
      <w:r w:rsidRPr="00DC01A8">
        <w:rPr>
          <w:rFonts w:ascii="Times New Roman" w:hAnsi="Times New Roman" w:cs="Times New Roman"/>
          <w:sz w:val="20"/>
          <w:szCs w:val="20"/>
          <w:vertAlign w:val="superscript"/>
        </w:rPr>
        <w:t>nde</w:t>
      </w:r>
      <w:r w:rsidRPr="00DC01A8">
        <w:rPr>
          <w:rFonts w:ascii="Times New Roman" w:hAnsi="Times New Roman" w:cs="Times New Roman"/>
          <w:sz w:val="20"/>
          <w:szCs w:val="20"/>
        </w:rPr>
        <w:t>, 3</w:t>
      </w:r>
      <w:r w:rsidRPr="00DC01A8">
        <w:rPr>
          <w:rFonts w:ascii="Times New Roman" w:hAnsi="Times New Roman" w:cs="Times New Roman"/>
          <w:sz w:val="20"/>
          <w:szCs w:val="20"/>
          <w:vertAlign w:val="superscript"/>
        </w:rPr>
        <w:t>ème</w:t>
      </w:r>
      <w:r w:rsidRPr="00DC01A8">
        <w:rPr>
          <w:rFonts w:ascii="Times New Roman" w:hAnsi="Times New Roman" w:cs="Times New Roman"/>
          <w:sz w:val="20"/>
          <w:szCs w:val="20"/>
        </w:rPr>
        <w:t xml:space="preserve"> , 14</w:t>
      </w:r>
      <w:r w:rsidRPr="00DC01A8">
        <w:rPr>
          <w:rFonts w:ascii="Times New Roman" w:hAnsi="Times New Roman" w:cs="Times New Roman"/>
          <w:sz w:val="20"/>
          <w:szCs w:val="20"/>
          <w:vertAlign w:val="superscript"/>
        </w:rPr>
        <w:t>ème</w:t>
      </w:r>
      <w:r w:rsidRPr="00DC01A8">
        <w:rPr>
          <w:rFonts w:ascii="Times New Roman" w:hAnsi="Times New Roman" w:cs="Times New Roman"/>
          <w:sz w:val="20"/>
          <w:szCs w:val="20"/>
        </w:rPr>
        <w:t>, 15</w:t>
      </w:r>
      <w:r w:rsidRPr="00DC01A8">
        <w:rPr>
          <w:rFonts w:ascii="Times New Roman" w:hAnsi="Times New Roman" w:cs="Times New Roman"/>
          <w:sz w:val="20"/>
          <w:szCs w:val="20"/>
          <w:vertAlign w:val="superscript"/>
        </w:rPr>
        <w:t>ème</w:t>
      </w:r>
      <w:r w:rsidRPr="00DC01A8">
        <w:rPr>
          <w:rFonts w:ascii="Times New Roman" w:hAnsi="Times New Roman" w:cs="Times New Roman"/>
          <w:sz w:val="20"/>
          <w:szCs w:val="20"/>
        </w:rPr>
        <w:t xml:space="preserve"> et 16</w:t>
      </w:r>
      <w:r w:rsidRPr="00DC01A8">
        <w:rPr>
          <w:rFonts w:ascii="Times New Roman" w:hAnsi="Times New Roman" w:cs="Times New Roman"/>
          <w:sz w:val="20"/>
          <w:szCs w:val="20"/>
          <w:vertAlign w:val="superscript"/>
        </w:rPr>
        <w:t>ème</w:t>
      </w:r>
      <w:r w:rsidRPr="00DC01A8">
        <w:rPr>
          <w:rFonts w:ascii="Times New Roman" w:hAnsi="Times New Roman" w:cs="Times New Roman"/>
          <w:sz w:val="20"/>
          <w:szCs w:val="20"/>
        </w:rPr>
        <w:t xml:space="preserve"> arrondissements. Comme en région, les ouvriers et les employés constituent l’essentiel des demandeurs d’emploi (87%). 40% des demandeurs d’emploi sont inscrits à Pôle emploi depuis plus d’un an</w:t>
      </w:r>
      <w:r w:rsidRPr="00DC01A8">
        <w:rPr>
          <w:rStyle w:val="Appeldenotedefin"/>
          <w:rFonts w:ascii="Times New Roman" w:hAnsi="Times New Roman" w:cs="Times New Roman"/>
          <w:sz w:val="20"/>
          <w:szCs w:val="20"/>
        </w:rPr>
        <w:endnoteReference w:id="5"/>
      </w:r>
      <w:r w:rsidRPr="00DC01A8">
        <w:rPr>
          <w:rFonts w:ascii="Times New Roman" w:hAnsi="Times New Roman" w:cs="Times New Roman"/>
          <w:sz w:val="20"/>
          <w:szCs w:val="20"/>
        </w:rPr>
        <w:t>.</w:t>
      </w:r>
    </w:p>
    <w:p w:rsidR="00DC01A8" w:rsidRPr="00DC01A8" w:rsidRDefault="00DC01A8" w:rsidP="00DC01A8">
      <w:pPr>
        <w:pStyle w:val="Paragraphedeliste"/>
        <w:numPr>
          <w:ilvl w:val="0"/>
          <w:numId w:val="1"/>
        </w:numPr>
        <w:rPr>
          <w:rFonts w:ascii="Times New Roman" w:hAnsi="Times New Roman" w:cs="Times New Roman"/>
          <w:b/>
          <w:color w:val="FF0000"/>
          <w:sz w:val="20"/>
          <w:szCs w:val="20"/>
        </w:rPr>
      </w:pPr>
      <w:r w:rsidRPr="00DC01A8">
        <w:rPr>
          <w:rFonts w:ascii="Times New Roman" w:hAnsi="Times New Roman" w:cs="Times New Roman"/>
          <w:b/>
          <w:color w:val="FF0000"/>
          <w:sz w:val="20"/>
          <w:szCs w:val="20"/>
        </w:rPr>
        <w:t>Inégalités d’accès à la poursuite d’études selon les quartiers malgré l’existence de structures</w:t>
      </w:r>
    </w:p>
    <w:p w:rsidR="00DC01A8" w:rsidRPr="00DC01A8" w:rsidRDefault="00DC01A8" w:rsidP="00DC01A8">
      <w:pPr>
        <w:jc w:val="both"/>
        <w:rPr>
          <w:rFonts w:ascii="Times New Roman" w:hAnsi="Times New Roman" w:cs="Times New Roman"/>
          <w:sz w:val="20"/>
          <w:szCs w:val="20"/>
        </w:rPr>
      </w:pPr>
      <w:r w:rsidRPr="00DC01A8">
        <w:rPr>
          <w:rFonts w:ascii="Times New Roman" w:hAnsi="Times New Roman" w:cs="Times New Roman"/>
          <w:sz w:val="20"/>
          <w:szCs w:val="20"/>
        </w:rPr>
        <w:t>Malgré une offre de formation très diversifiée, l’inégalité d’accès à la poursuite d’études est flagrante selon les arrondissements et les quartiers.</w:t>
      </w:r>
    </w:p>
    <w:p w:rsidR="00DC01A8" w:rsidRPr="00DC01A8" w:rsidRDefault="00DC01A8" w:rsidP="00DC01A8">
      <w:pPr>
        <w:jc w:val="both"/>
        <w:rPr>
          <w:rFonts w:ascii="Times New Roman" w:hAnsi="Times New Roman" w:cs="Times New Roman"/>
          <w:sz w:val="20"/>
          <w:szCs w:val="20"/>
        </w:rPr>
      </w:pPr>
      <w:r w:rsidRPr="00DC01A8">
        <w:rPr>
          <w:rFonts w:ascii="Times New Roman" w:hAnsi="Times New Roman" w:cs="Times New Roman"/>
          <w:sz w:val="20"/>
          <w:szCs w:val="20"/>
        </w:rPr>
        <w:t>Marseille a un taux de scolarisation des majeurs plus élevé qu’en région,</w:t>
      </w:r>
      <w:r w:rsidRPr="00DC01A8">
        <w:rPr>
          <w:rFonts w:ascii="Times New Roman" w:hAnsi="Times New Roman" w:cs="Times New Roman"/>
          <w:b/>
          <w:sz w:val="20"/>
          <w:szCs w:val="20"/>
        </w:rPr>
        <w:t xml:space="preserve"> </w:t>
      </w:r>
      <w:r w:rsidRPr="00DC01A8">
        <w:rPr>
          <w:rFonts w:ascii="Times New Roman" w:hAnsi="Times New Roman" w:cs="Times New Roman"/>
          <w:sz w:val="20"/>
          <w:szCs w:val="20"/>
        </w:rPr>
        <w:t>dû surtout à la présence du pôle universitaire d’Aix-Marseille.  A l’opposé, la proportion des jeunes non-diplômés (33%) est supérieure à celle de la région</w:t>
      </w:r>
      <w:r w:rsidRPr="00DC01A8">
        <w:rPr>
          <w:rStyle w:val="Appeldenotedefin"/>
          <w:rFonts w:ascii="Times New Roman" w:hAnsi="Times New Roman" w:cs="Times New Roman"/>
          <w:sz w:val="20"/>
          <w:szCs w:val="20"/>
        </w:rPr>
        <w:endnoteReference w:id="6"/>
      </w:r>
      <w:r w:rsidRPr="00DC01A8">
        <w:rPr>
          <w:rFonts w:ascii="Times New Roman" w:hAnsi="Times New Roman" w:cs="Times New Roman"/>
          <w:sz w:val="20"/>
          <w:szCs w:val="20"/>
        </w:rPr>
        <w:t>. Le taux de diplômés du supérieur dépasse les 20% dans les 1</w:t>
      </w:r>
      <w:r w:rsidRPr="00DC01A8">
        <w:rPr>
          <w:rFonts w:ascii="Times New Roman" w:hAnsi="Times New Roman" w:cs="Times New Roman"/>
          <w:sz w:val="20"/>
          <w:szCs w:val="20"/>
          <w:vertAlign w:val="superscript"/>
        </w:rPr>
        <w:t>er</w:t>
      </w:r>
      <w:r w:rsidRPr="00DC01A8">
        <w:rPr>
          <w:rFonts w:ascii="Times New Roman" w:hAnsi="Times New Roman" w:cs="Times New Roman"/>
          <w:sz w:val="20"/>
          <w:szCs w:val="20"/>
        </w:rPr>
        <w:t>, 6</w:t>
      </w:r>
      <w:r w:rsidRPr="00DC01A8">
        <w:rPr>
          <w:rFonts w:ascii="Times New Roman" w:hAnsi="Times New Roman" w:cs="Times New Roman"/>
          <w:sz w:val="20"/>
          <w:szCs w:val="20"/>
          <w:vertAlign w:val="superscript"/>
        </w:rPr>
        <w:t>ème</w:t>
      </w:r>
      <w:r w:rsidRPr="00DC01A8">
        <w:rPr>
          <w:rFonts w:ascii="Times New Roman" w:hAnsi="Times New Roman" w:cs="Times New Roman"/>
          <w:sz w:val="20"/>
          <w:szCs w:val="20"/>
        </w:rPr>
        <w:t xml:space="preserve"> et 7</w:t>
      </w:r>
      <w:r w:rsidRPr="00DC01A8">
        <w:rPr>
          <w:rFonts w:ascii="Times New Roman" w:hAnsi="Times New Roman" w:cs="Times New Roman"/>
          <w:sz w:val="20"/>
          <w:szCs w:val="20"/>
          <w:vertAlign w:val="superscript"/>
        </w:rPr>
        <w:t>ème</w:t>
      </w:r>
      <w:r w:rsidRPr="00DC01A8">
        <w:rPr>
          <w:rFonts w:ascii="Times New Roman" w:hAnsi="Times New Roman" w:cs="Times New Roman"/>
          <w:sz w:val="20"/>
          <w:szCs w:val="20"/>
        </w:rPr>
        <w:t xml:space="preserve"> arrondissements mais s’établit à moins de 5% dans les 3</w:t>
      </w:r>
      <w:r w:rsidRPr="00DC01A8">
        <w:rPr>
          <w:rFonts w:ascii="Times New Roman" w:hAnsi="Times New Roman" w:cs="Times New Roman"/>
          <w:sz w:val="20"/>
          <w:szCs w:val="20"/>
          <w:vertAlign w:val="superscript"/>
        </w:rPr>
        <w:t>ème</w:t>
      </w:r>
      <w:r w:rsidRPr="00DC01A8">
        <w:rPr>
          <w:rFonts w:ascii="Times New Roman" w:hAnsi="Times New Roman" w:cs="Times New Roman"/>
          <w:sz w:val="20"/>
          <w:szCs w:val="20"/>
        </w:rPr>
        <w:t>, 14</w:t>
      </w:r>
      <w:r w:rsidRPr="00DC01A8">
        <w:rPr>
          <w:rFonts w:ascii="Times New Roman" w:hAnsi="Times New Roman" w:cs="Times New Roman"/>
          <w:sz w:val="20"/>
          <w:szCs w:val="20"/>
          <w:vertAlign w:val="superscript"/>
        </w:rPr>
        <w:t>ème</w:t>
      </w:r>
      <w:r w:rsidRPr="00DC01A8">
        <w:rPr>
          <w:rFonts w:ascii="Times New Roman" w:hAnsi="Times New Roman" w:cs="Times New Roman"/>
          <w:sz w:val="20"/>
          <w:szCs w:val="20"/>
        </w:rPr>
        <w:t xml:space="preserve"> et 15</w:t>
      </w:r>
      <w:r w:rsidRPr="00DC01A8">
        <w:rPr>
          <w:rFonts w:ascii="Times New Roman" w:hAnsi="Times New Roman" w:cs="Times New Roman"/>
          <w:sz w:val="20"/>
          <w:szCs w:val="20"/>
          <w:vertAlign w:val="superscript"/>
        </w:rPr>
        <w:t>ème</w:t>
      </w:r>
      <w:r w:rsidRPr="00DC01A8">
        <w:rPr>
          <w:rFonts w:ascii="Times New Roman" w:hAnsi="Times New Roman" w:cs="Times New Roman"/>
          <w:sz w:val="20"/>
          <w:szCs w:val="20"/>
        </w:rPr>
        <w:t xml:space="preserve">. </w:t>
      </w:r>
    </w:p>
    <w:p w:rsidR="00DC01A8" w:rsidRPr="00DC01A8" w:rsidRDefault="00DC01A8" w:rsidP="00DC01A8">
      <w:pPr>
        <w:jc w:val="both"/>
        <w:rPr>
          <w:rFonts w:ascii="Times New Roman" w:hAnsi="Times New Roman" w:cs="Times New Roman"/>
          <w:sz w:val="20"/>
          <w:szCs w:val="20"/>
        </w:rPr>
      </w:pPr>
      <w:r w:rsidRPr="00DC01A8">
        <w:rPr>
          <w:rFonts w:ascii="Times New Roman" w:hAnsi="Times New Roman" w:cs="Times New Roman"/>
          <w:sz w:val="20"/>
          <w:szCs w:val="20"/>
        </w:rPr>
        <w:lastRenderedPageBreak/>
        <w:t xml:space="preserve">Selon les quartiers, les chances d’accéder à un LEGT sont très différentes. L’exemple de 2 quartiers, la Calade et Périer, volontairement choisis, illustre ce propos. En effet, dans chacun de ces quartiers, il existe un collège (Monticelli pour Périer et Rimbaud pour La Calade) et un lycée d’enseignement général (le lycée Périer dans son quartier et St Exupéry pour La Calade). </w:t>
      </w:r>
    </w:p>
    <w:p w:rsidR="00DC01A8" w:rsidRPr="00DC01A8" w:rsidRDefault="00DC01A8" w:rsidP="00DC01A8">
      <w:pPr>
        <w:pStyle w:val="Paragraphedeliste"/>
        <w:numPr>
          <w:ilvl w:val="0"/>
          <w:numId w:val="4"/>
        </w:numPr>
        <w:rPr>
          <w:rFonts w:ascii="Times New Roman" w:hAnsi="Times New Roman" w:cs="Times New Roman"/>
          <w:b/>
          <w:sz w:val="20"/>
          <w:szCs w:val="20"/>
        </w:rPr>
      </w:pPr>
      <w:r w:rsidRPr="00DC01A8">
        <w:rPr>
          <w:rFonts w:ascii="Times New Roman" w:hAnsi="Times New Roman" w:cs="Times New Roman"/>
          <w:b/>
          <w:sz w:val="20"/>
          <w:szCs w:val="20"/>
        </w:rPr>
        <w:t>Au collège</w:t>
      </w:r>
    </w:p>
    <w:p w:rsidR="00DC01A8" w:rsidRPr="00DC01A8" w:rsidRDefault="00DC01A8" w:rsidP="00DC01A8">
      <w:pPr>
        <w:rPr>
          <w:rFonts w:ascii="Times New Roman" w:hAnsi="Times New Roman" w:cs="Times New Roman"/>
          <w:sz w:val="20"/>
          <w:szCs w:val="20"/>
        </w:rPr>
      </w:pPr>
      <w:r w:rsidRPr="00DC01A8">
        <w:rPr>
          <w:rFonts w:ascii="Times New Roman" w:hAnsi="Times New Roman" w:cs="Times New Roman"/>
          <w:sz w:val="20"/>
          <w:szCs w:val="20"/>
        </w:rPr>
        <w:t>Dans les 2 collèges</w:t>
      </w:r>
      <w:r w:rsidRPr="00DC01A8">
        <w:rPr>
          <w:rStyle w:val="Appeldenotedefin"/>
          <w:rFonts w:ascii="Times New Roman" w:hAnsi="Times New Roman" w:cs="Times New Roman"/>
          <w:sz w:val="20"/>
          <w:szCs w:val="20"/>
        </w:rPr>
        <w:endnoteReference w:id="7"/>
      </w:r>
      <w:r w:rsidRPr="00DC01A8">
        <w:rPr>
          <w:rFonts w:ascii="Times New Roman" w:hAnsi="Times New Roman" w:cs="Times New Roman"/>
          <w:sz w:val="20"/>
          <w:szCs w:val="20"/>
        </w:rPr>
        <w:t>, la représentation des PCS</w:t>
      </w:r>
      <w:r w:rsidRPr="00DC01A8">
        <w:rPr>
          <w:rStyle w:val="Appeldenotedefin"/>
          <w:rFonts w:ascii="Times New Roman" w:hAnsi="Times New Roman" w:cs="Times New Roman"/>
          <w:sz w:val="20"/>
          <w:szCs w:val="20"/>
        </w:rPr>
        <w:endnoteReference w:id="8"/>
      </w:r>
      <w:r w:rsidRPr="00DC01A8">
        <w:rPr>
          <w:rFonts w:ascii="Times New Roman" w:hAnsi="Times New Roman" w:cs="Times New Roman"/>
          <w:sz w:val="20"/>
          <w:szCs w:val="20"/>
        </w:rPr>
        <w:t xml:space="preserve"> pour les catégories défavorisées est inversée : </w:t>
      </w:r>
    </w:p>
    <w:tbl>
      <w:tblPr>
        <w:tblStyle w:val="Grilledutableau"/>
        <w:tblW w:w="0" w:type="auto"/>
        <w:tblLook w:val="04A0"/>
      </w:tblPr>
      <w:tblGrid>
        <w:gridCol w:w="2303"/>
        <w:gridCol w:w="2303"/>
        <w:gridCol w:w="2303"/>
        <w:gridCol w:w="2303"/>
      </w:tblGrid>
      <w:tr w:rsidR="00DC01A8" w:rsidRPr="00DC01A8" w:rsidTr="00D82335">
        <w:tc>
          <w:tcPr>
            <w:tcW w:w="2303" w:type="dxa"/>
          </w:tcPr>
          <w:p w:rsidR="00DC01A8" w:rsidRPr="00DC01A8" w:rsidRDefault="00DC01A8" w:rsidP="00D82335">
            <w:pPr>
              <w:rPr>
                <w:rFonts w:ascii="Times New Roman" w:hAnsi="Times New Roman" w:cs="Times New Roman"/>
                <w:sz w:val="20"/>
                <w:szCs w:val="20"/>
              </w:rPr>
            </w:pPr>
          </w:p>
        </w:tc>
        <w:tc>
          <w:tcPr>
            <w:tcW w:w="230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PCS défavorisée</w:t>
            </w:r>
          </w:p>
        </w:tc>
        <w:tc>
          <w:tcPr>
            <w:tcW w:w="230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PCS moyenne</w:t>
            </w:r>
          </w:p>
        </w:tc>
        <w:tc>
          <w:tcPr>
            <w:tcW w:w="230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PCS favorisée</w:t>
            </w:r>
          </w:p>
        </w:tc>
      </w:tr>
      <w:tr w:rsidR="00DC01A8" w:rsidRPr="00DC01A8" w:rsidTr="00D82335">
        <w:tc>
          <w:tcPr>
            <w:tcW w:w="230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A.Rimbaud</w:t>
            </w:r>
          </w:p>
        </w:tc>
        <w:tc>
          <w:tcPr>
            <w:tcW w:w="2303" w:type="dxa"/>
          </w:tcPr>
          <w:p w:rsidR="00DC01A8" w:rsidRPr="00DC01A8" w:rsidRDefault="00DC01A8" w:rsidP="00D82335">
            <w:pPr>
              <w:rPr>
                <w:rFonts w:ascii="Times New Roman" w:hAnsi="Times New Roman" w:cs="Times New Roman"/>
                <w:b/>
                <w:color w:val="C00000"/>
                <w:sz w:val="20"/>
                <w:szCs w:val="20"/>
              </w:rPr>
            </w:pPr>
            <w:r w:rsidRPr="00DC01A8">
              <w:rPr>
                <w:rFonts w:ascii="Times New Roman" w:hAnsi="Times New Roman" w:cs="Times New Roman"/>
                <w:b/>
                <w:color w:val="C00000"/>
                <w:sz w:val="20"/>
                <w:szCs w:val="20"/>
              </w:rPr>
              <w:t>87%</w:t>
            </w:r>
          </w:p>
        </w:tc>
        <w:tc>
          <w:tcPr>
            <w:tcW w:w="230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13%</w:t>
            </w:r>
          </w:p>
        </w:tc>
        <w:tc>
          <w:tcPr>
            <w:tcW w:w="2303" w:type="dxa"/>
          </w:tcPr>
          <w:p w:rsidR="00DC01A8" w:rsidRPr="00DC01A8" w:rsidRDefault="00DC01A8" w:rsidP="00D82335">
            <w:pPr>
              <w:rPr>
                <w:rFonts w:ascii="Times New Roman" w:hAnsi="Times New Roman" w:cs="Times New Roman"/>
                <w:b/>
                <w:sz w:val="20"/>
                <w:szCs w:val="20"/>
              </w:rPr>
            </w:pPr>
            <w:r w:rsidRPr="00DC01A8">
              <w:rPr>
                <w:rFonts w:ascii="Times New Roman" w:hAnsi="Times New Roman" w:cs="Times New Roman"/>
                <w:b/>
                <w:sz w:val="20"/>
                <w:szCs w:val="20"/>
              </w:rPr>
              <w:t>0%</w:t>
            </w:r>
          </w:p>
        </w:tc>
      </w:tr>
      <w:tr w:rsidR="00DC01A8" w:rsidRPr="00DC01A8" w:rsidTr="00D82335">
        <w:tc>
          <w:tcPr>
            <w:tcW w:w="230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Monticelli</w:t>
            </w:r>
          </w:p>
        </w:tc>
        <w:tc>
          <w:tcPr>
            <w:tcW w:w="2303" w:type="dxa"/>
          </w:tcPr>
          <w:p w:rsidR="00DC01A8" w:rsidRPr="00DC01A8" w:rsidRDefault="00DC01A8" w:rsidP="00D82335">
            <w:pPr>
              <w:rPr>
                <w:rFonts w:ascii="Times New Roman" w:hAnsi="Times New Roman" w:cs="Times New Roman"/>
                <w:b/>
                <w:color w:val="C00000"/>
                <w:sz w:val="20"/>
                <w:szCs w:val="20"/>
              </w:rPr>
            </w:pPr>
            <w:r w:rsidRPr="00DC01A8">
              <w:rPr>
                <w:rFonts w:ascii="Times New Roman" w:hAnsi="Times New Roman" w:cs="Times New Roman"/>
                <w:b/>
                <w:color w:val="C00000"/>
                <w:sz w:val="20"/>
                <w:szCs w:val="20"/>
              </w:rPr>
              <w:t>13,3%</w:t>
            </w:r>
          </w:p>
        </w:tc>
        <w:tc>
          <w:tcPr>
            <w:tcW w:w="230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39,2%</w:t>
            </w:r>
          </w:p>
        </w:tc>
        <w:tc>
          <w:tcPr>
            <w:tcW w:w="230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47,6%</w:t>
            </w:r>
          </w:p>
        </w:tc>
      </w:tr>
      <w:tr w:rsidR="00DC01A8" w:rsidRPr="00DC01A8" w:rsidTr="00D82335">
        <w:tc>
          <w:tcPr>
            <w:tcW w:w="230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Académie</w:t>
            </w:r>
          </w:p>
        </w:tc>
        <w:tc>
          <w:tcPr>
            <w:tcW w:w="230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36,9%</w:t>
            </w:r>
          </w:p>
        </w:tc>
        <w:tc>
          <w:tcPr>
            <w:tcW w:w="230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42,7%</w:t>
            </w:r>
          </w:p>
        </w:tc>
        <w:tc>
          <w:tcPr>
            <w:tcW w:w="230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20,4%</w:t>
            </w:r>
          </w:p>
        </w:tc>
      </w:tr>
    </w:tbl>
    <w:p w:rsidR="00DC01A8" w:rsidRPr="00DC01A8" w:rsidRDefault="00DC01A8" w:rsidP="00DC01A8">
      <w:pPr>
        <w:jc w:val="both"/>
        <w:rPr>
          <w:rFonts w:ascii="Times New Roman" w:hAnsi="Times New Roman" w:cs="Times New Roman"/>
          <w:b/>
          <w:sz w:val="20"/>
          <w:szCs w:val="20"/>
        </w:rPr>
      </w:pPr>
    </w:p>
    <w:p w:rsidR="00DC01A8" w:rsidRPr="00DC01A8" w:rsidRDefault="00DC01A8" w:rsidP="00DC01A8">
      <w:pPr>
        <w:jc w:val="both"/>
        <w:rPr>
          <w:rFonts w:ascii="Times New Roman" w:hAnsi="Times New Roman" w:cs="Times New Roman"/>
          <w:sz w:val="20"/>
          <w:szCs w:val="20"/>
        </w:rPr>
      </w:pPr>
      <w:r w:rsidRPr="00DC01A8">
        <w:rPr>
          <w:rFonts w:ascii="Times New Roman" w:hAnsi="Times New Roman" w:cs="Times New Roman"/>
          <w:sz w:val="20"/>
          <w:szCs w:val="20"/>
        </w:rPr>
        <w:t>Si l’on compare les principaux niveaux d’études atteints par les collégiens de la cohorte des élèves entrés en 6</w:t>
      </w:r>
      <w:r w:rsidRPr="00DC01A8">
        <w:rPr>
          <w:rFonts w:ascii="Times New Roman" w:hAnsi="Times New Roman" w:cs="Times New Roman"/>
          <w:sz w:val="20"/>
          <w:szCs w:val="20"/>
          <w:vertAlign w:val="superscript"/>
        </w:rPr>
        <w:t>ème</w:t>
      </w:r>
      <w:r w:rsidRPr="00DC01A8">
        <w:rPr>
          <w:rFonts w:ascii="Times New Roman" w:hAnsi="Times New Roman" w:cs="Times New Roman"/>
          <w:sz w:val="20"/>
          <w:szCs w:val="20"/>
        </w:rPr>
        <w:t xml:space="preserve"> génération 2006, on note des différences considérables d’accès en 3</w:t>
      </w:r>
      <w:r w:rsidRPr="00DC01A8">
        <w:rPr>
          <w:rFonts w:ascii="Times New Roman" w:hAnsi="Times New Roman" w:cs="Times New Roman"/>
          <w:sz w:val="20"/>
          <w:szCs w:val="20"/>
          <w:vertAlign w:val="superscript"/>
        </w:rPr>
        <w:t>ème</w:t>
      </w:r>
      <w:r w:rsidRPr="00DC01A8">
        <w:rPr>
          <w:rFonts w:ascii="Times New Roman" w:hAnsi="Times New Roman" w:cs="Times New Roman"/>
          <w:sz w:val="20"/>
          <w:szCs w:val="20"/>
        </w:rPr>
        <w:t xml:space="preserve"> (plus de 10 points) et en 2</w:t>
      </w:r>
      <w:r w:rsidRPr="00DC01A8">
        <w:rPr>
          <w:rFonts w:ascii="Times New Roman" w:hAnsi="Times New Roman" w:cs="Times New Roman"/>
          <w:sz w:val="20"/>
          <w:szCs w:val="20"/>
          <w:vertAlign w:val="superscript"/>
        </w:rPr>
        <w:t>nde</w:t>
      </w:r>
      <w:r w:rsidRPr="00DC01A8">
        <w:rPr>
          <w:rFonts w:ascii="Times New Roman" w:hAnsi="Times New Roman" w:cs="Times New Roman"/>
          <w:sz w:val="20"/>
          <w:szCs w:val="20"/>
        </w:rPr>
        <w:t xml:space="preserve"> GT ( plus de 54 points) en défaveur du collège A.Rimbaud. Le taux d’accès au DNB dans les 2 collèges corrobore ces chiffres : 30,6% des élèves accèdent au DNB au collège A.Rimbaud contre 82,5% au collège Monticelli soit une différence de plus de 51points.  </w:t>
      </w:r>
    </w:p>
    <w:p w:rsidR="00DC01A8" w:rsidRPr="00DC01A8" w:rsidRDefault="00DC01A8" w:rsidP="00DC01A8">
      <w:pPr>
        <w:rPr>
          <w:rFonts w:ascii="Times New Roman" w:hAnsi="Times New Roman" w:cs="Times New Roman"/>
          <w:sz w:val="20"/>
          <w:szCs w:val="20"/>
        </w:rPr>
      </w:pPr>
      <w:r w:rsidRPr="00DC01A8">
        <w:rPr>
          <w:rFonts w:ascii="Times New Roman" w:hAnsi="Times New Roman" w:cs="Times New Roman"/>
          <w:sz w:val="20"/>
          <w:szCs w:val="20"/>
        </w:rPr>
        <w:t>Principaux niveaux d’études atteints</w:t>
      </w:r>
    </w:p>
    <w:tbl>
      <w:tblPr>
        <w:tblStyle w:val="Grilledutableau"/>
        <w:tblW w:w="0" w:type="auto"/>
        <w:tblLook w:val="04A0"/>
      </w:tblPr>
      <w:tblGrid>
        <w:gridCol w:w="1842"/>
        <w:gridCol w:w="1842"/>
        <w:gridCol w:w="1843"/>
        <w:gridCol w:w="1843"/>
      </w:tblGrid>
      <w:tr w:rsidR="00DC01A8" w:rsidRPr="00DC01A8" w:rsidTr="00D82335">
        <w:tc>
          <w:tcPr>
            <w:tcW w:w="1842" w:type="dxa"/>
          </w:tcPr>
          <w:p w:rsidR="00DC01A8" w:rsidRPr="00DC01A8" w:rsidRDefault="00DC01A8" w:rsidP="00D82335">
            <w:pPr>
              <w:rPr>
                <w:rFonts w:ascii="Times New Roman" w:hAnsi="Times New Roman" w:cs="Times New Roman"/>
                <w:sz w:val="20"/>
                <w:szCs w:val="20"/>
              </w:rPr>
            </w:pPr>
          </w:p>
        </w:tc>
        <w:tc>
          <w:tcPr>
            <w:tcW w:w="1842"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Taux d’accès 6</w:t>
            </w:r>
            <w:r w:rsidRPr="00DC01A8">
              <w:rPr>
                <w:rFonts w:ascii="Times New Roman" w:hAnsi="Times New Roman" w:cs="Times New Roman"/>
                <w:sz w:val="20"/>
                <w:szCs w:val="20"/>
                <w:vertAlign w:val="superscript"/>
              </w:rPr>
              <w:t>ème</w:t>
            </w:r>
            <w:r w:rsidRPr="00DC01A8">
              <w:rPr>
                <w:rFonts w:ascii="Times New Roman" w:hAnsi="Times New Roman" w:cs="Times New Roman"/>
                <w:sz w:val="20"/>
                <w:szCs w:val="20"/>
              </w:rPr>
              <w:t>-3</w:t>
            </w:r>
            <w:r w:rsidRPr="00DC01A8">
              <w:rPr>
                <w:rFonts w:ascii="Times New Roman" w:hAnsi="Times New Roman" w:cs="Times New Roman"/>
                <w:sz w:val="20"/>
                <w:szCs w:val="20"/>
                <w:vertAlign w:val="superscript"/>
              </w:rPr>
              <w:t>ème</w:t>
            </w:r>
            <w:r w:rsidRPr="00DC01A8">
              <w:rPr>
                <w:rFonts w:ascii="Times New Roman" w:hAnsi="Times New Roman" w:cs="Times New Roman"/>
                <w:sz w:val="20"/>
                <w:szCs w:val="20"/>
              </w:rPr>
              <w:t xml:space="preserve"> </w:t>
            </w:r>
          </w:p>
        </w:tc>
        <w:tc>
          <w:tcPr>
            <w:tcW w:w="184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2</w:t>
            </w:r>
            <w:r w:rsidRPr="00DC01A8">
              <w:rPr>
                <w:rFonts w:ascii="Times New Roman" w:hAnsi="Times New Roman" w:cs="Times New Roman"/>
                <w:sz w:val="20"/>
                <w:szCs w:val="20"/>
                <w:vertAlign w:val="superscript"/>
              </w:rPr>
              <w:t>nd</w:t>
            </w:r>
            <w:r w:rsidRPr="00DC01A8">
              <w:rPr>
                <w:rFonts w:ascii="Times New Roman" w:hAnsi="Times New Roman" w:cs="Times New Roman"/>
                <w:sz w:val="20"/>
                <w:szCs w:val="20"/>
              </w:rPr>
              <w:t xml:space="preserve"> cycle GT</w:t>
            </w:r>
          </w:p>
        </w:tc>
        <w:tc>
          <w:tcPr>
            <w:tcW w:w="184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2</w:t>
            </w:r>
            <w:r w:rsidRPr="00DC01A8">
              <w:rPr>
                <w:rFonts w:ascii="Times New Roman" w:hAnsi="Times New Roman" w:cs="Times New Roman"/>
                <w:sz w:val="20"/>
                <w:szCs w:val="20"/>
                <w:vertAlign w:val="superscript"/>
              </w:rPr>
              <w:t>nd</w:t>
            </w:r>
            <w:r w:rsidRPr="00DC01A8">
              <w:rPr>
                <w:rFonts w:ascii="Times New Roman" w:hAnsi="Times New Roman" w:cs="Times New Roman"/>
                <w:sz w:val="20"/>
                <w:szCs w:val="20"/>
              </w:rPr>
              <w:t xml:space="preserve"> cycle</w:t>
            </w:r>
          </w:p>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Voie Pro.</w:t>
            </w:r>
          </w:p>
        </w:tc>
      </w:tr>
      <w:tr w:rsidR="00DC01A8" w:rsidRPr="00DC01A8" w:rsidTr="00D82335">
        <w:tc>
          <w:tcPr>
            <w:tcW w:w="1842"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A .Rimbaud</w:t>
            </w:r>
          </w:p>
        </w:tc>
        <w:tc>
          <w:tcPr>
            <w:tcW w:w="1842" w:type="dxa"/>
          </w:tcPr>
          <w:p w:rsidR="00DC01A8" w:rsidRPr="00DC01A8" w:rsidRDefault="00DC01A8" w:rsidP="00D82335">
            <w:pPr>
              <w:rPr>
                <w:rFonts w:ascii="Times New Roman" w:hAnsi="Times New Roman" w:cs="Times New Roman"/>
                <w:b/>
                <w:color w:val="C00000"/>
                <w:sz w:val="20"/>
                <w:szCs w:val="20"/>
              </w:rPr>
            </w:pPr>
            <w:r w:rsidRPr="00DC01A8">
              <w:rPr>
                <w:rFonts w:ascii="Times New Roman" w:hAnsi="Times New Roman" w:cs="Times New Roman"/>
                <w:b/>
                <w:color w:val="C00000"/>
                <w:sz w:val="20"/>
                <w:szCs w:val="20"/>
              </w:rPr>
              <w:t>78,7%</w:t>
            </w:r>
          </w:p>
        </w:tc>
        <w:tc>
          <w:tcPr>
            <w:tcW w:w="1843" w:type="dxa"/>
          </w:tcPr>
          <w:p w:rsidR="00DC01A8" w:rsidRPr="00DC01A8" w:rsidRDefault="00DC01A8" w:rsidP="00D82335">
            <w:pPr>
              <w:rPr>
                <w:rFonts w:ascii="Times New Roman" w:hAnsi="Times New Roman" w:cs="Times New Roman"/>
                <w:b/>
                <w:color w:val="C00000"/>
                <w:sz w:val="20"/>
                <w:szCs w:val="20"/>
              </w:rPr>
            </w:pPr>
            <w:r w:rsidRPr="00DC01A8">
              <w:rPr>
                <w:rFonts w:ascii="Times New Roman" w:hAnsi="Times New Roman" w:cs="Times New Roman"/>
                <w:b/>
                <w:color w:val="C00000"/>
                <w:sz w:val="20"/>
                <w:szCs w:val="20"/>
              </w:rPr>
              <w:t>15,7%</w:t>
            </w:r>
          </w:p>
        </w:tc>
        <w:tc>
          <w:tcPr>
            <w:tcW w:w="184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42,6%</w:t>
            </w:r>
          </w:p>
        </w:tc>
      </w:tr>
      <w:tr w:rsidR="00DC01A8" w:rsidRPr="00DC01A8" w:rsidTr="00D82335">
        <w:tc>
          <w:tcPr>
            <w:tcW w:w="1842"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Monticelli</w:t>
            </w:r>
          </w:p>
        </w:tc>
        <w:tc>
          <w:tcPr>
            <w:tcW w:w="1842"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89,5%</w:t>
            </w:r>
          </w:p>
        </w:tc>
        <w:tc>
          <w:tcPr>
            <w:tcW w:w="184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70,6%</w:t>
            </w:r>
          </w:p>
        </w:tc>
        <w:tc>
          <w:tcPr>
            <w:tcW w:w="184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14%</w:t>
            </w:r>
          </w:p>
        </w:tc>
      </w:tr>
      <w:tr w:rsidR="00DC01A8" w:rsidRPr="00DC01A8" w:rsidTr="00D82335">
        <w:tc>
          <w:tcPr>
            <w:tcW w:w="1842"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Académie</w:t>
            </w:r>
          </w:p>
        </w:tc>
        <w:tc>
          <w:tcPr>
            <w:tcW w:w="1842"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89,1%</w:t>
            </w:r>
          </w:p>
        </w:tc>
        <w:tc>
          <w:tcPr>
            <w:tcW w:w="184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49,8%</w:t>
            </w:r>
          </w:p>
        </w:tc>
        <w:tc>
          <w:tcPr>
            <w:tcW w:w="184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30,4%</w:t>
            </w:r>
          </w:p>
        </w:tc>
      </w:tr>
    </w:tbl>
    <w:p w:rsidR="00DC01A8" w:rsidRPr="00DC01A8" w:rsidRDefault="00DC01A8" w:rsidP="00DC01A8">
      <w:pPr>
        <w:rPr>
          <w:rFonts w:ascii="Times New Roman" w:hAnsi="Times New Roman" w:cs="Times New Roman"/>
          <w:b/>
          <w:sz w:val="20"/>
          <w:szCs w:val="20"/>
        </w:rPr>
      </w:pPr>
    </w:p>
    <w:p w:rsidR="00DC01A8" w:rsidRPr="00DC01A8" w:rsidRDefault="00DC01A8" w:rsidP="00DC01A8">
      <w:pPr>
        <w:rPr>
          <w:rFonts w:ascii="Times New Roman" w:hAnsi="Times New Roman" w:cs="Times New Roman"/>
          <w:sz w:val="20"/>
          <w:szCs w:val="20"/>
        </w:rPr>
      </w:pPr>
      <w:r w:rsidRPr="00DC01A8">
        <w:rPr>
          <w:rFonts w:ascii="Times New Roman" w:hAnsi="Times New Roman" w:cs="Times New Roman"/>
          <w:sz w:val="20"/>
          <w:szCs w:val="20"/>
        </w:rPr>
        <w:t>Accès DNB (session 2012)</w:t>
      </w:r>
    </w:p>
    <w:tbl>
      <w:tblPr>
        <w:tblStyle w:val="Grilledutableau"/>
        <w:tblW w:w="0" w:type="auto"/>
        <w:tblLook w:val="04A0"/>
      </w:tblPr>
      <w:tblGrid>
        <w:gridCol w:w="1842"/>
        <w:gridCol w:w="1842"/>
        <w:gridCol w:w="1842"/>
        <w:gridCol w:w="1843"/>
        <w:gridCol w:w="1843"/>
      </w:tblGrid>
      <w:tr w:rsidR="00DC01A8" w:rsidRPr="00DC01A8" w:rsidTr="00D82335">
        <w:tc>
          <w:tcPr>
            <w:tcW w:w="1842" w:type="dxa"/>
          </w:tcPr>
          <w:p w:rsidR="00DC01A8" w:rsidRPr="00DC01A8" w:rsidRDefault="00DC01A8" w:rsidP="00D82335">
            <w:pPr>
              <w:rPr>
                <w:rFonts w:ascii="Times New Roman" w:hAnsi="Times New Roman" w:cs="Times New Roman"/>
                <w:sz w:val="20"/>
                <w:szCs w:val="20"/>
              </w:rPr>
            </w:pPr>
          </w:p>
        </w:tc>
        <w:tc>
          <w:tcPr>
            <w:tcW w:w="1842"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 xml:space="preserve">Taux d’accès de </w:t>
            </w:r>
          </w:p>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6</w:t>
            </w:r>
            <w:r w:rsidRPr="00DC01A8">
              <w:rPr>
                <w:rFonts w:ascii="Times New Roman" w:hAnsi="Times New Roman" w:cs="Times New Roman"/>
                <w:sz w:val="20"/>
                <w:szCs w:val="20"/>
                <w:vertAlign w:val="superscript"/>
              </w:rPr>
              <w:t>ème</w:t>
            </w:r>
            <w:r w:rsidRPr="00DC01A8">
              <w:rPr>
                <w:rFonts w:ascii="Times New Roman" w:hAnsi="Times New Roman" w:cs="Times New Roman"/>
                <w:sz w:val="20"/>
                <w:szCs w:val="20"/>
              </w:rPr>
              <w:t xml:space="preserve"> au DNB</w:t>
            </w:r>
          </w:p>
        </w:tc>
        <w:tc>
          <w:tcPr>
            <w:tcW w:w="1842"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Ecart/Taux attendu</w:t>
            </w:r>
            <w:r w:rsidRPr="00DC01A8">
              <w:rPr>
                <w:rStyle w:val="Appeldenotedefin"/>
                <w:rFonts w:ascii="Times New Roman" w:hAnsi="Times New Roman" w:cs="Times New Roman"/>
                <w:sz w:val="20"/>
                <w:szCs w:val="20"/>
              </w:rPr>
              <w:endnoteReference w:id="9"/>
            </w:r>
          </w:p>
        </w:tc>
        <w:tc>
          <w:tcPr>
            <w:tcW w:w="184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 d’élèves 6</w:t>
            </w:r>
            <w:r w:rsidRPr="00DC01A8">
              <w:rPr>
                <w:rFonts w:ascii="Times New Roman" w:hAnsi="Times New Roman" w:cs="Times New Roman"/>
                <w:sz w:val="20"/>
                <w:szCs w:val="20"/>
                <w:vertAlign w:val="superscript"/>
              </w:rPr>
              <w:t>ème</w:t>
            </w:r>
            <w:r w:rsidRPr="00DC01A8">
              <w:rPr>
                <w:rFonts w:ascii="Times New Roman" w:hAnsi="Times New Roman" w:cs="Times New Roman"/>
                <w:sz w:val="20"/>
                <w:szCs w:val="20"/>
              </w:rPr>
              <w:t xml:space="preserve"> inscrits au DNB</w:t>
            </w:r>
          </w:p>
        </w:tc>
        <w:tc>
          <w:tcPr>
            <w:tcW w:w="184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 inscrits DNB ayant obtenu DNB</w:t>
            </w:r>
          </w:p>
        </w:tc>
      </w:tr>
      <w:tr w:rsidR="00DC01A8" w:rsidRPr="00DC01A8" w:rsidTr="00D82335">
        <w:tc>
          <w:tcPr>
            <w:tcW w:w="1842"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A.Rimbaud</w:t>
            </w:r>
          </w:p>
        </w:tc>
        <w:tc>
          <w:tcPr>
            <w:tcW w:w="1842" w:type="dxa"/>
          </w:tcPr>
          <w:p w:rsidR="00DC01A8" w:rsidRPr="00DC01A8" w:rsidRDefault="00DC01A8" w:rsidP="00D82335">
            <w:pPr>
              <w:rPr>
                <w:rFonts w:ascii="Times New Roman" w:hAnsi="Times New Roman" w:cs="Times New Roman"/>
                <w:b/>
                <w:color w:val="C00000"/>
                <w:sz w:val="20"/>
                <w:szCs w:val="20"/>
              </w:rPr>
            </w:pPr>
            <w:r w:rsidRPr="00DC01A8">
              <w:rPr>
                <w:rFonts w:ascii="Times New Roman" w:hAnsi="Times New Roman" w:cs="Times New Roman"/>
                <w:b/>
                <w:color w:val="C00000"/>
                <w:sz w:val="20"/>
                <w:szCs w:val="20"/>
              </w:rPr>
              <w:t>30,6%</w:t>
            </w:r>
          </w:p>
        </w:tc>
        <w:tc>
          <w:tcPr>
            <w:tcW w:w="1842" w:type="dxa"/>
          </w:tcPr>
          <w:p w:rsidR="00DC01A8" w:rsidRPr="00DC01A8" w:rsidRDefault="00DC01A8" w:rsidP="00D82335">
            <w:pPr>
              <w:rPr>
                <w:rFonts w:ascii="Times New Roman" w:hAnsi="Times New Roman" w:cs="Times New Roman"/>
                <w:b/>
                <w:color w:val="C00000"/>
                <w:sz w:val="20"/>
                <w:szCs w:val="20"/>
              </w:rPr>
            </w:pPr>
            <w:r w:rsidRPr="00DC01A8">
              <w:rPr>
                <w:rFonts w:ascii="Times New Roman" w:hAnsi="Times New Roman" w:cs="Times New Roman"/>
                <w:b/>
                <w:color w:val="C00000"/>
                <w:sz w:val="20"/>
                <w:szCs w:val="20"/>
              </w:rPr>
              <w:t>-15%</w:t>
            </w:r>
          </w:p>
        </w:tc>
        <w:tc>
          <w:tcPr>
            <w:tcW w:w="184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51,9%</w:t>
            </w:r>
          </w:p>
        </w:tc>
        <w:tc>
          <w:tcPr>
            <w:tcW w:w="184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58,9%</w:t>
            </w:r>
          </w:p>
        </w:tc>
      </w:tr>
      <w:tr w:rsidR="00DC01A8" w:rsidRPr="00DC01A8" w:rsidTr="00D82335">
        <w:tc>
          <w:tcPr>
            <w:tcW w:w="1842"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Monticelli</w:t>
            </w:r>
          </w:p>
        </w:tc>
        <w:tc>
          <w:tcPr>
            <w:tcW w:w="1842" w:type="dxa"/>
          </w:tcPr>
          <w:p w:rsidR="00DC01A8" w:rsidRPr="00DC01A8" w:rsidRDefault="00DC01A8" w:rsidP="00D82335">
            <w:pPr>
              <w:rPr>
                <w:rFonts w:ascii="Times New Roman" w:hAnsi="Times New Roman" w:cs="Times New Roman"/>
                <w:b/>
                <w:color w:val="C00000"/>
                <w:sz w:val="20"/>
                <w:szCs w:val="20"/>
              </w:rPr>
            </w:pPr>
            <w:r w:rsidRPr="00DC01A8">
              <w:rPr>
                <w:rFonts w:ascii="Times New Roman" w:hAnsi="Times New Roman" w:cs="Times New Roman"/>
                <w:b/>
                <w:color w:val="C00000"/>
                <w:sz w:val="20"/>
                <w:szCs w:val="20"/>
              </w:rPr>
              <w:t>82,5%</w:t>
            </w:r>
          </w:p>
        </w:tc>
        <w:tc>
          <w:tcPr>
            <w:tcW w:w="1842"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+3,6%</w:t>
            </w:r>
          </w:p>
        </w:tc>
        <w:tc>
          <w:tcPr>
            <w:tcW w:w="184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87,4%</w:t>
            </w:r>
          </w:p>
        </w:tc>
        <w:tc>
          <w:tcPr>
            <w:tcW w:w="184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94,4%</w:t>
            </w:r>
          </w:p>
        </w:tc>
      </w:tr>
      <w:tr w:rsidR="00DC01A8" w:rsidRPr="00DC01A8" w:rsidTr="00D82335">
        <w:tc>
          <w:tcPr>
            <w:tcW w:w="1842"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Académie</w:t>
            </w:r>
          </w:p>
        </w:tc>
        <w:tc>
          <w:tcPr>
            <w:tcW w:w="1842"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69,2%</w:t>
            </w:r>
          </w:p>
        </w:tc>
        <w:tc>
          <w:tcPr>
            <w:tcW w:w="1842" w:type="dxa"/>
          </w:tcPr>
          <w:p w:rsidR="00DC01A8" w:rsidRPr="00DC01A8" w:rsidRDefault="00DC01A8" w:rsidP="00D82335">
            <w:pPr>
              <w:rPr>
                <w:rFonts w:ascii="Times New Roman" w:hAnsi="Times New Roman" w:cs="Times New Roman"/>
                <w:sz w:val="20"/>
                <w:szCs w:val="20"/>
              </w:rPr>
            </w:pPr>
          </w:p>
        </w:tc>
        <w:tc>
          <w:tcPr>
            <w:tcW w:w="184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84,1%</w:t>
            </w:r>
          </w:p>
        </w:tc>
        <w:tc>
          <w:tcPr>
            <w:tcW w:w="184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82,3%</w:t>
            </w:r>
          </w:p>
        </w:tc>
      </w:tr>
    </w:tbl>
    <w:p w:rsidR="00DC01A8" w:rsidRPr="00DC01A8" w:rsidRDefault="00DC01A8" w:rsidP="00DC01A8">
      <w:pPr>
        <w:rPr>
          <w:rFonts w:ascii="Times New Roman" w:hAnsi="Times New Roman" w:cs="Times New Roman"/>
          <w:b/>
          <w:sz w:val="20"/>
          <w:szCs w:val="20"/>
        </w:rPr>
      </w:pPr>
    </w:p>
    <w:p w:rsidR="00DC01A8" w:rsidRPr="00DC01A8" w:rsidRDefault="00DC01A8" w:rsidP="00DC01A8">
      <w:pPr>
        <w:pStyle w:val="Paragraphedeliste"/>
        <w:numPr>
          <w:ilvl w:val="0"/>
          <w:numId w:val="4"/>
        </w:numPr>
        <w:rPr>
          <w:rFonts w:ascii="Times New Roman" w:hAnsi="Times New Roman" w:cs="Times New Roman"/>
          <w:b/>
          <w:sz w:val="20"/>
          <w:szCs w:val="20"/>
        </w:rPr>
      </w:pPr>
      <w:r w:rsidRPr="00DC01A8">
        <w:rPr>
          <w:rFonts w:ascii="Times New Roman" w:hAnsi="Times New Roman" w:cs="Times New Roman"/>
          <w:b/>
          <w:sz w:val="20"/>
          <w:szCs w:val="20"/>
        </w:rPr>
        <w:t>Au lycée</w:t>
      </w:r>
    </w:p>
    <w:p w:rsidR="00DC01A8" w:rsidRPr="00DC01A8" w:rsidRDefault="00DC01A8" w:rsidP="00DC01A8">
      <w:pPr>
        <w:rPr>
          <w:rFonts w:ascii="Times New Roman" w:hAnsi="Times New Roman" w:cs="Times New Roman"/>
          <w:sz w:val="20"/>
          <w:szCs w:val="20"/>
        </w:rPr>
      </w:pPr>
      <w:r w:rsidRPr="00DC01A8">
        <w:rPr>
          <w:rFonts w:ascii="Times New Roman" w:hAnsi="Times New Roman" w:cs="Times New Roman"/>
          <w:sz w:val="20"/>
          <w:szCs w:val="20"/>
        </w:rPr>
        <w:t>Le lycée St-Exupéry et le lycée Périer ont une composition socio-démographique qui se rapproche de celle du collège du même quartier</w:t>
      </w:r>
      <w:r w:rsidRPr="00DC01A8">
        <w:rPr>
          <w:rStyle w:val="Appeldenotedefin"/>
          <w:rFonts w:ascii="Times New Roman" w:hAnsi="Times New Roman" w:cs="Times New Roman"/>
          <w:sz w:val="20"/>
          <w:szCs w:val="20"/>
        </w:rPr>
        <w:endnoteReference w:id="10"/>
      </w:r>
      <w:r w:rsidRPr="00DC01A8">
        <w:rPr>
          <w:rFonts w:ascii="Times New Roman" w:hAnsi="Times New Roman" w:cs="Times New Roman"/>
          <w:sz w:val="20"/>
          <w:szCs w:val="20"/>
        </w:rPr>
        <w:t> :</w:t>
      </w:r>
    </w:p>
    <w:tbl>
      <w:tblPr>
        <w:tblStyle w:val="Grilledutableau"/>
        <w:tblW w:w="0" w:type="auto"/>
        <w:tblLook w:val="04A0"/>
      </w:tblPr>
      <w:tblGrid>
        <w:gridCol w:w="2303"/>
        <w:gridCol w:w="2303"/>
        <w:gridCol w:w="2303"/>
        <w:gridCol w:w="2303"/>
      </w:tblGrid>
      <w:tr w:rsidR="00DC01A8" w:rsidRPr="00DC01A8" w:rsidTr="00D82335">
        <w:tc>
          <w:tcPr>
            <w:tcW w:w="2303" w:type="dxa"/>
          </w:tcPr>
          <w:p w:rsidR="00DC01A8" w:rsidRPr="00DC01A8" w:rsidRDefault="00DC01A8" w:rsidP="00D82335">
            <w:pPr>
              <w:rPr>
                <w:rFonts w:ascii="Times New Roman" w:hAnsi="Times New Roman" w:cs="Times New Roman"/>
                <w:sz w:val="20"/>
                <w:szCs w:val="20"/>
              </w:rPr>
            </w:pPr>
          </w:p>
        </w:tc>
        <w:tc>
          <w:tcPr>
            <w:tcW w:w="230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PCS défavorisée</w:t>
            </w:r>
          </w:p>
        </w:tc>
        <w:tc>
          <w:tcPr>
            <w:tcW w:w="230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PCS moyenne</w:t>
            </w:r>
          </w:p>
        </w:tc>
        <w:tc>
          <w:tcPr>
            <w:tcW w:w="230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PCS favorisée</w:t>
            </w:r>
          </w:p>
        </w:tc>
      </w:tr>
      <w:tr w:rsidR="00DC01A8" w:rsidRPr="00DC01A8" w:rsidTr="00D82335">
        <w:tc>
          <w:tcPr>
            <w:tcW w:w="230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St Exupéry</w:t>
            </w:r>
          </w:p>
        </w:tc>
        <w:tc>
          <w:tcPr>
            <w:tcW w:w="2303" w:type="dxa"/>
          </w:tcPr>
          <w:p w:rsidR="00DC01A8" w:rsidRPr="00DC01A8" w:rsidRDefault="00DC01A8" w:rsidP="00D82335">
            <w:pPr>
              <w:rPr>
                <w:rFonts w:ascii="Times New Roman" w:hAnsi="Times New Roman" w:cs="Times New Roman"/>
                <w:b/>
                <w:color w:val="C00000"/>
                <w:sz w:val="20"/>
                <w:szCs w:val="20"/>
              </w:rPr>
            </w:pPr>
            <w:r w:rsidRPr="00DC01A8">
              <w:rPr>
                <w:rFonts w:ascii="Times New Roman" w:hAnsi="Times New Roman" w:cs="Times New Roman"/>
                <w:b/>
                <w:color w:val="C00000"/>
                <w:sz w:val="20"/>
                <w:szCs w:val="20"/>
              </w:rPr>
              <w:t>69,4%</w:t>
            </w:r>
          </w:p>
        </w:tc>
        <w:tc>
          <w:tcPr>
            <w:tcW w:w="230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27%</w:t>
            </w:r>
          </w:p>
        </w:tc>
        <w:tc>
          <w:tcPr>
            <w:tcW w:w="2303" w:type="dxa"/>
          </w:tcPr>
          <w:p w:rsidR="00DC01A8" w:rsidRPr="00DC01A8" w:rsidRDefault="00DC01A8" w:rsidP="00D82335">
            <w:pPr>
              <w:rPr>
                <w:rFonts w:ascii="Times New Roman" w:hAnsi="Times New Roman" w:cs="Times New Roman"/>
                <w:b/>
                <w:color w:val="C00000"/>
                <w:sz w:val="20"/>
                <w:szCs w:val="20"/>
              </w:rPr>
            </w:pPr>
            <w:r w:rsidRPr="00DC01A8">
              <w:rPr>
                <w:rFonts w:ascii="Times New Roman" w:hAnsi="Times New Roman" w:cs="Times New Roman"/>
                <w:b/>
                <w:color w:val="C00000"/>
                <w:sz w:val="20"/>
                <w:szCs w:val="20"/>
              </w:rPr>
              <w:t>3,6%</w:t>
            </w:r>
          </w:p>
        </w:tc>
      </w:tr>
      <w:tr w:rsidR="00DC01A8" w:rsidRPr="00DC01A8" w:rsidTr="00D82335">
        <w:tc>
          <w:tcPr>
            <w:tcW w:w="230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Périer</w:t>
            </w:r>
          </w:p>
        </w:tc>
        <w:tc>
          <w:tcPr>
            <w:tcW w:w="2303" w:type="dxa"/>
          </w:tcPr>
          <w:p w:rsidR="00DC01A8" w:rsidRPr="00DC01A8" w:rsidRDefault="00DC01A8" w:rsidP="00D82335">
            <w:pPr>
              <w:rPr>
                <w:rFonts w:ascii="Times New Roman" w:hAnsi="Times New Roman" w:cs="Times New Roman"/>
                <w:b/>
                <w:color w:val="C00000"/>
                <w:sz w:val="20"/>
                <w:szCs w:val="20"/>
              </w:rPr>
            </w:pPr>
            <w:r w:rsidRPr="00DC01A8">
              <w:rPr>
                <w:rFonts w:ascii="Times New Roman" w:hAnsi="Times New Roman" w:cs="Times New Roman"/>
                <w:b/>
                <w:color w:val="C00000"/>
                <w:sz w:val="20"/>
                <w:szCs w:val="20"/>
              </w:rPr>
              <w:t>17,2%</w:t>
            </w:r>
          </w:p>
        </w:tc>
        <w:tc>
          <w:tcPr>
            <w:tcW w:w="230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41,9%</w:t>
            </w:r>
          </w:p>
        </w:tc>
        <w:tc>
          <w:tcPr>
            <w:tcW w:w="230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40,8%</w:t>
            </w:r>
          </w:p>
        </w:tc>
      </w:tr>
      <w:tr w:rsidR="00DC01A8" w:rsidRPr="00DC01A8" w:rsidTr="00D82335">
        <w:tc>
          <w:tcPr>
            <w:tcW w:w="230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Académie</w:t>
            </w:r>
          </w:p>
        </w:tc>
        <w:tc>
          <w:tcPr>
            <w:tcW w:w="230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26,5%</w:t>
            </w:r>
          </w:p>
        </w:tc>
        <w:tc>
          <w:tcPr>
            <w:tcW w:w="230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43,7%</w:t>
            </w:r>
          </w:p>
        </w:tc>
        <w:tc>
          <w:tcPr>
            <w:tcW w:w="2303"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29,8%</w:t>
            </w:r>
          </w:p>
        </w:tc>
      </w:tr>
    </w:tbl>
    <w:p w:rsidR="00DC01A8" w:rsidRPr="00DC01A8" w:rsidRDefault="00DC01A8" w:rsidP="00DC01A8">
      <w:pPr>
        <w:rPr>
          <w:rFonts w:ascii="Times New Roman" w:hAnsi="Times New Roman" w:cs="Times New Roman"/>
          <w:sz w:val="20"/>
          <w:szCs w:val="20"/>
        </w:rPr>
      </w:pPr>
    </w:p>
    <w:p w:rsidR="00DC01A8" w:rsidRPr="00DC01A8" w:rsidRDefault="00DC01A8" w:rsidP="00DC01A8">
      <w:pPr>
        <w:jc w:val="both"/>
        <w:rPr>
          <w:rFonts w:ascii="Times New Roman" w:hAnsi="Times New Roman" w:cs="Times New Roman"/>
          <w:sz w:val="20"/>
          <w:szCs w:val="20"/>
        </w:rPr>
      </w:pPr>
      <w:r w:rsidRPr="00DC01A8">
        <w:rPr>
          <w:rFonts w:ascii="Times New Roman" w:hAnsi="Times New Roman" w:cs="Times New Roman"/>
          <w:sz w:val="20"/>
          <w:szCs w:val="20"/>
        </w:rPr>
        <w:t>Selon la cohorte</w:t>
      </w:r>
      <w:r w:rsidRPr="00DC01A8">
        <w:rPr>
          <w:rFonts w:ascii="Times New Roman" w:hAnsi="Times New Roman" w:cs="Times New Roman"/>
          <w:b/>
          <w:sz w:val="20"/>
          <w:szCs w:val="20"/>
        </w:rPr>
        <w:t xml:space="preserve"> </w:t>
      </w:r>
      <w:r w:rsidRPr="00DC01A8">
        <w:rPr>
          <w:rFonts w:ascii="Times New Roman" w:hAnsi="Times New Roman" w:cs="Times New Roman"/>
          <w:sz w:val="20"/>
          <w:szCs w:val="20"/>
        </w:rPr>
        <w:t>des élèves entrés en 2</w:t>
      </w:r>
      <w:r w:rsidRPr="00DC01A8">
        <w:rPr>
          <w:rFonts w:ascii="Times New Roman" w:hAnsi="Times New Roman" w:cs="Times New Roman"/>
          <w:sz w:val="20"/>
          <w:szCs w:val="20"/>
          <w:vertAlign w:val="superscript"/>
        </w:rPr>
        <w:t>nde</w:t>
      </w:r>
      <w:r w:rsidRPr="00DC01A8">
        <w:rPr>
          <w:rFonts w:ascii="Times New Roman" w:hAnsi="Times New Roman" w:cs="Times New Roman"/>
          <w:sz w:val="20"/>
          <w:szCs w:val="20"/>
        </w:rPr>
        <w:t xml:space="preserve"> GT en 2006, les résultats au Bac ainsi que la proportion de bacheliers ayant réussi leur diplôme en 3 ans diffèrent profondément d’un lycée à l’autre (respectivement 16,1 points et 15,4 points). Ces 2 éléments sont en défaveur du lycée Saint Exupéry.</w:t>
      </w:r>
    </w:p>
    <w:p w:rsidR="00DC01A8" w:rsidRPr="00DC01A8" w:rsidRDefault="00DC01A8" w:rsidP="00DC01A8">
      <w:pPr>
        <w:jc w:val="both"/>
        <w:rPr>
          <w:rFonts w:ascii="Times New Roman" w:hAnsi="Times New Roman" w:cs="Times New Roman"/>
          <w:sz w:val="20"/>
          <w:szCs w:val="20"/>
        </w:rPr>
      </w:pPr>
    </w:p>
    <w:p w:rsidR="00DC01A8" w:rsidRPr="00DC01A8" w:rsidRDefault="00DC01A8" w:rsidP="00DC01A8">
      <w:pPr>
        <w:jc w:val="both"/>
        <w:rPr>
          <w:rFonts w:ascii="Times New Roman" w:hAnsi="Times New Roman" w:cs="Times New Roman"/>
          <w:sz w:val="20"/>
          <w:szCs w:val="20"/>
        </w:rPr>
      </w:pPr>
    </w:p>
    <w:p w:rsidR="00DC01A8" w:rsidRPr="00DC01A8" w:rsidRDefault="00DC01A8" w:rsidP="00DC01A8">
      <w:pPr>
        <w:rPr>
          <w:rFonts w:ascii="Times New Roman" w:hAnsi="Times New Roman" w:cs="Times New Roman"/>
          <w:sz w:val="20"/>
          <w:szCs w:val="20"/>
        </w:rPr>
      </w:pPr>
      <w:r w:rsidRPr="00DC01A8">
        <w:rPr>
          <w:rFonts w:ascii="Times New Roman" w:hAnsi="Times New Roman" w:cs="Times New Roman"/>
          <w:sz w:val="20"/>
          <w:szCs w:val="20"/>
        </w:rPr>
        <w:lastRenderedPageBreak/>
        <w:t>Accès au niveau IV et au Baccalauréat GT et durée du parcours 2</w:t>
      </w:r>
      <w:r w:rsidRPr="00DC01A8">
        <w:rPr>
          <w:rFonts w:ascii="Times New Roman" w:hAnsi="Times New Roman" w:cs="Times New Roman"/>
          <w:sz w:val="20"/>
          <w:szCs w:val="20"/>
          <w:vertAlign w:val="superscript"/>
        </w:rPr>
        <w:t>nde</w:t>
      </w:r>
      <w:r w:rsidRPr="00DC01A8">
        <w:rPr>
          <w:rFonts w:ascii="Times New Roman" w:hAnsi="Times New Roman" w:cs="Times New Roman"/>
          <w:sz w:val="20"/>
          <w:szCs w:val="20"/>
        </w:rPr>
        <w:t xml:space="preserve"> vers le Bac</w:t>
      </w:r>
    </w:p>
    <w:tbl>
      <w:tblPr>
        <w:tblStyle w:val="Grilledutableau"/>
        <w:tblW w:w="9464" w:type="dxa"/>
        <w:tblLayout w:type="fixed"/>
        <w:tblLook w:val="04A0"/>
      </w:tblPr>
      <w:tblGrid>
        <w:gridCol w:w="1526"/>
        <w:gridCol w:w="1417"/>
        <w:gridCol w:w="1560"/>
        <w:gridCol w:w="992"/>
        <w:gridCol w:w="1134"/>
        <w:gridCol w:w="992"/>
        <w:gridCol w:w="992"/>
        <w:gridCol w:w="851"/>
      </w:tblGrid>
      <w:tr w:rsidR="00DC01A8" w:rsidRPr="00DC01A8" w:rsidTr="00D82335">
        <w:trPr>
          <w:trHeight w:val="1080"/>
        </w:trPr>
        <w:tc>
          <w:tcPr>
            <w:tcW w:w="1526" w:type="dxa"/>
            <w:vMerge w:val="restart"/>
          </w:tcPr>
          <w:p w:rsidR="00DC01A8" w:rsidRPr="00DC01A8" w:rsidRDefault="00DC01A8" w:rsidP="00D82335">
            <w:pPr>
              <w:rPr>
                <w:rFonts w:ascii="Times New Roman" w:hAnsi="Times New Roman" w:cs="Times New Roman"/>
                <w:sz w:val="20"/>
                <w:szCs w:val="20"/>
              </w:rPr>
            </w:pPr>
          </w:p>
        </w:tc>
        <w:tc>
          <w:tcPr>
            <w:tcW w:w="1417" w:type="dxa"/>
            <w:vMerge w:val="restart"/>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 élèves de 2</w:t>
            </w:r>
            <w:r w:rsidRPr="00DC01A8">
              <w:rPr>
                <w:rFonts w:ascii="Times New Roman" w:hAnsi="Times New Roman" w:cs="Times New Roman"/>
                <w:sz w:val="20"/>
                <w:szCs w:val="20"/>
                <w:vertAlign w:val="superscript"/>
              </w:rPr>
              <w:t>nde</w:t>
            </w:r>
            <w:r w:rsidRPr="00DC01A8">
              <w:rPr>
                <w:rFonts w:ascii="Times New Roman" w:hAnsi="Times New Roman" w:cs="Times New Roman"/>
                <w:sz w:val="20"/>
                <w:szCs w:val="20"/>
              </w:rPr>
              <w:t xml:space="preserve"> ayant accédé au niveau IV</w:t>
            </w:r>
          </w:p>
        </w:tc>
        <w:tc>
          <w:tcPr>
            <w:tcW w:w="1560" w:type="dxa"/>
            <w:vMerge w:val="restart"/>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 xml:space="preserve">Taux d’obtention du BAC </w:t>
            </w:r>
          </w:p>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parmi ces élèves</w:t>
            </w:r>
          </w:p>
        </w:tc>
        <w:tc>
          <w:tcPr>
            <w:tcW w:w="992" w:type="dxa"/>
            <w:vMerge w:val="restart"/>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Co-</w:t>
            </w:r>
          </w:p>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hor-</w:t>
            </w:r>
          </w:p>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te 2006</w:t>
            </w:r>
          </w:p>
        </w:tc>
        <w:tc>
          <w:tcPr>
            <w:tcW w:w="1134" w:type="dxa"/>
            <w:vMerge w:val="restart"/>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Ecart</w:t>
            </w:r>
          </w:p>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 xml:space="preserve">au </w:t>
            </w:r>
          </w:p>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Taux attendu</w:t>
            </w:r>
          </w:p>
          <w:p w:rsidR="00DC01A8" w:rsidRPr="00DC01A8" w:rsidRDefault="00DC01A8" w:rsidP="00D82335">
            <w:pPr>
              <w:rPr>
                <w:rFonts w:ascii="Times New Roman" w:hAnsi="Times New Roman" w:cs="Times New Roman"/>
                <w:sz w:val="20"/>
                <w:szCs w:val="20"/>
              </w:rPr>
            </w:pPr>
          </w:p>
        </w:tc>
        <w:tc>
          <w:tcPr>
            <w:tcW w:w="2835" w:type="dxa"/>
            <w:gridSpan w:val="3"/>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Durée du parcours</w:t>
            </w:r>
          </w:p>
        </w:tc>
      </w:tr>
      <w:tr w:rsidR="00DC01A8" w:rsidRPr="00DC01A8" w:rsidTr="00D82335">
        <w:trPr>
          <w:trHeight w:val="735"/>
        </w:trPr>
        <w:tc>
          <w:tcPr>
            <w:tcW w:w="1526" w:type="dxa"/>
            <w:vMerge/>
          </w:tcPr>
          <w:p w:rsidR="00DC01A8" w:rsidRPr="00DC01A8" w:rsidRDefault="00DC01A8" w:rsidP="00D82335">
            <w:pPr>
              <w:rPr>
                <w:rFonts w:ascii="Times New Roman" w:hAnsi="Times New Roman" w:cs="Times New Roman"/>
                <w:sz w:val="20"/>
                <w:szCs w:val="20"/>
              </w:rPr>
            </w:pPr>
          </w:p>
        </w:tc>
        <w:tc>
          <w:tcPr>
            <w:tcW w:w="1417" w:type="dxa"/>
            <w:vMerge/>
          </w:tcPr>
          <w:p w:rsidR="00DC01A8" w:rsidRPr="00DC01A8" w:rsidRDefault="00DC01A8" w:rsidP="00D82335">
            <w:pPr>
              <w:rPr>
                <w:rFonts w:ascii="Times New Roman" w:hAnsi="Times New Roman" w:cs="Times New Roman"/>
                <w:sz w:val="20"/>
                <w:szCs w:val="20"/>
              </w:rPr>
            </w:pPr>
          </w:p>
        </w:tc>
        <w:tc>
          <w:tcPr>
            <w:tcW w:w="1560" w:type="dxa"/>
            <w:vMerge/>
          </w:tcPr>
          <w:p w:rsidR="00DC01A8" w:rsidRPr="00DC01A8" w:rsidRDefault="00DC01A8" w:rsidP="00D82335">
            <w:pPr>
              <w:rPr>
                <w:rFonts w:ascii="Times New Roman" w:hAnsi="Times New Roman" w:cs="Times New Roman"/>
                <w:sz w:val="20"/>
                <w:szCs w:val="20"/>
              </w:rPr>
            </w:pPr>
          </w:p>
        </w:tc>
        <w:tc>
          <w:tcPr>
            <w:tcW w:w="992" w:type="dxa"/>
            <w:vMerge/>
          </w:tcPr>
          <w:p w:rsidR="00DC01A8" w:rsidRPr="00DC01A8" w:rsidRDefault="00DC01A8" w:rsidP="00D82335">
            <w:pPr>
              <w:rPr>
                <w:rFonts w:ascii="Times New Roman" w:hAnsi="Times New Roman" w:cs="Times New Roman"/>
                <w:sz w:val="20"/>
                <w:szCs w:val="20"/>
              </w:rPr>
            </w:pPr>
          </w:p>
        </w:tc>
        <w:tc>
          <w:tcPr>
            <w:tcW w:w="1134" w:type="dxa"/>
            <w:vMerge/>
          </w:tcPr>
          <w:p w:rsidR="00DC01A8" w:rsidRPr="00DC01A8" w:rsidRDefault="00DC01A8" w:rsidP="00D82335">
            <w:pPr>
              <w:rPr>
                <w:rFonts w:ascii="Times New Roman" w:hAnsi="Times New Roman" w:cs="Times New Roman"/>
                <w:sz w:val="20"/>
                <w:szCs w:val="20"/>
              </w:rPr>
            </w:pPr>
          </w:p>
        </w:tc>
        <w:tc>
          <w:tcPr>
            <w:tcW w:w="992"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En 3 ans</w:t>
            </w:r>
          </w:p>
        </w:tc>
        <w:tc>
          <w:tcPr>
            <w:tcW w:w="992"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En 4 ans</w:t>
            </w:r>
          </w:p>
        </w:tc>
        <w:tc>
          <w:tcPr>
            <w:tcW w:w="851"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En 5 ans</w:t>
            </w:r>
          </w:p>
        </w:tc>
      </w:tr>
      <w:tr w:rsidR="00DC01A8" w:rsidRPr="00DC01A8" w:rsidTr="00D82335">
        <w:tc>
          <w:tcPr>
            <w:tcW w:w="1526"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St-Exupéry</w:t>
            </w:r>
          </w:p>
        </w:tc>
        <w:tc>
          <w:tcPr>
            <w:tcW w:w="1417"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84,5%</w:t>
            </w:r>
          </w:p>
        </w:tc>
        <w:tc>
          <w:tcPr>
            <w:tcW w:w="1560"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82,8%</w:t>
            </w:r>
          </w:p>
        </w:tc>
        <w:tc>
          <w:tcPr>
            <w:tcW w:w="992" w:type="dxa"/>
          </w:tcPr>
          <w:p w:rsidR="00DC01A8" w:rsidRPr="00DC01A8" w:rsidRDefault="00DC01A8" w:rsidP="00D82335">
            <w:pPr>
              <w:rPr>
                <w:rFonts w:ascii="Times New Roman" w:hAnsi="Times New Roman" w:cs="Times New Roman"/>
                <w:b/>
                <w:color w:val="C00000"/>
                <w:sz w:val="20"/>
                <w:szCs w:val="20"/>
              </w:rPr>
            </w:pPr>
            <w:r w:rsidRPr="00DC01A8">
              <w:rPr>
                <w:rFonts w:ascii="Times New Roman" w:hAnsi="Times New Roman" w:cs="Times New Roman"/>
                <w:b/>
                <w:color w:val="C00000"/>
                <w:sz w:val="20"/>
                <w:szCs w:val="20"/>
              </w:rPr>
              <w:t>70%</w:t>
            </w:r>
          </w:p>
        </w:tc>
        <w:tc>
          <w:tcPr>
            <w:tcW w:w="1134"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-4,3%</w:t>
            </w:r>
          </w:p>
        </w:tc>
        <w:tc>
          <w:tcPr>
            <w:tcW w:w="992" w:type="dxa"/>
          </w:tcPr>
          <w:p w:rsidR="00DC01A8" w:rsidRPr="00DC01A8" w:rsidRDefault="00DC01A8" w:rsidP="00D82335">
            <w:pPr>
              <w:rPr>
                <w:rFonts w:ascii="Times New Roman" w:hAnsi="Times New Roman" w:cs="Times New Roman"/>
                <w:b/>
                <w:color w:val="C00000"/>
                <w:sz w:val="20"/>
                <w:szCs w:val="20"/>
              </w:rPr>
            </w:pPr>
            <w:r w:rsidRPr="00DC01A8">
              <w:rPr>
                <w:rFonts w:ascii="Times New Roman" w:hAnsi="Times New Roman" w:cs="Times New Roman"/>
                <w:b/>
                <w:color w:val="C00000"/>
                <w:sz w:val="20"/>
                <w:szCs w:val="20"/>
              </w:rPr>
              <w:t>48,1%</w:t>
            </w:r>
          </w:p>
        </w:tc>
        <w:tc>
          <w:tcPr>
            <w:tcW w:w="992"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32,6%</w:t>
            </w:r>
          </w:p>
        </w:tc>
        <w:tc>
          <w:tcPr>
            <w:tcW w:w="851"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19, 3%</w:t>
            </w:r>
          </w:p>
        </w:tc>
      </w:tr>
      <w:tr w:rsidR="00DC01A8" w:rsidRPr="00DC01A8" w:rsidTr="00D82335">
        <w:tc>
          <w:tcPr>
            <w:tcW w:w="1526"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Périer</w:t>
            </w:r>
          </w:p>
        </w:tc>
        <w:tc>
          <w:tcPr>
            <w:tcW w:w="1417"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89,4%</w:t>
            </w:r>
          </w:p>
        </w:tc>
        <w:tc>
          <w:tcPr>
            <w:tcW w:w="1560"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96,3%</w:t>
            </w:r>
          </w:p>
        </w:tc>
        <w:tc>
          <w:tcPr>
            <w:tcW w:w="992" w:type="dxa"/>
          </w:tcPr>
          <w:p w:rsidR="00DC01A8" w:rsidRPr="00DC01A8" w:rsidRDefault="00DC01A8" w:rsidP="00D82335">
            <w:pPr>
              <w:rPr>
                <w:rFonts w:ascii="Times New Roman" w:hAnsi="Times New Roman" w:cs="Times New Roman"/>
                <w:b/>
                <w:color w:val="C00000"/>
                <w:sz w:val="20"/>
                <w:szCs w:val="20"/>
              </w:rPr>
            </w:pPr>
            <w:r w:rsidRPr="00DC01A8">
              <w:rPr>
                <w:rFonts w:ascii="Times New Roman" w:hAnsi="Times New Roman" w:cs="Times New Roman"/>
                <w:b/>
                <w:color w:val="C00000"/>
                <w:sz w:val="20"/>
                <w:szCs w:val="20"/>
              </w:rPr>
              <w:t>86,1%</w:t>
            </w:r>
          </w:p>
        </w:tc>
        <w:tc>
          <w:tcPr>
            <w:tcW w:w="1134"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+2,3%</w:t>
            </w:r>
          </w:p>
        </w:tc>
        <w:tc>
          <w:tcPr>
            <w:tcW w:w="992" w:type="dxa"/>
          </w:tcPr>
          <w:p w:rsidR="00DC01A8" w:rsidRPr="00DC01A8" w:rsidRDefault="00DC01A8" w:rsidP="00D82335">
            <w:pPr>
              <w:rPr>
                <w:rFonts w:ascii="Times New Roman" w:hAnsi="Times New Roman" w:cs="Times New Roman"/>
                <w:b/>
                <w:color w:val="C00000"/>
                <w:sz w:val="20"/>
                <w:szCs w:val="20"/>
              </w:rPr>
            </w:pPr>
            <w:r w:rsidRPr="00DC01A8">
              <w:rPr>
                <w:rFonts w:ascii="Times New Roman" w:hAnsi="Times New Roman" w:cs="Times New Roman"/>
                <w:b/>
                <w:color w:val="C00000"/>
                <w:sz w:val="20"/>
                <w:szCs w:val="20"/>
              </w:rPr>
              <w:t>63,5%</w:t>
            </w:r>
          </w:p>
        </w:tc>
        <w:tc>
          <w:tcPr>
            <w:tcW w:w="992"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27,1%</w:t>
            </w:r>
          </w:p>
        </w:tc>
        <w:tc>
          <w:tcPr>
            <w:tcW w:w="851"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9,4%</w:t>
            </w:r>
          </w:p>
        </w:tc>
      </w:tr>
      <w:tr w:rsidR="00DC01A8" w:rsidRPr="00DC01A8" w:rsidTr="00D82335">
        <w:tc>
          <w:tcPr>
            <w:tcW w:w="1526"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Académie</w:t>
            </w:r>
          </w:p>
        </w:tc>
        <w:tc>
          <w:tcPr>
            <w:tcW w:w="1417"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89%</w:t>
            </w:r>
          </w:p>
        </w:tc>
        <w:tc>
          <w:tcPr>
            <w:tcW w:w="1560"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93,8%</w:t>
            </w:r>
          </w:p>
        </w:tc>
        <w:tc>
          <w:tcPr>
            <w:tcW w:w="992"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83,5%</w:t>
            </w:r>
          </w:p>
        </w:tc>
        <w:tc>
          <w:tcPr>
            <w:tcW w:w="1134" w:type="dxa"/>
          </w:tcPr>
          <w:p w:rsidR="00DC01A8" w:rsidRPr="00DC01A8" w:rsidRDefault="00DC01A8" w:rsidP="00D82335">
            <w:pPr>
              <w:rPr>
                <w:rFonts w:ascii="Times New Roman" w:hAnsi="Times New Roman" w:cs="Times New Roman"/>
                <w:sz w:val="20"/>
                <w:szCs w:val="20"/>
              </w:rPr>
            </w:pPr>
          </w:p>
        </w:tc>
        <w:tc>
          <w:tcPr>
            <w:tcW w:w="992"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69,7%</w:t>
            </w:r>
          </w:p>
        </w:tc>
        <w:tc>
          <w:tcPr>
            <w:tcW w:w="992"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23,4%</w:t>
            </w:r>
          </w:p>
        </w:tc>
        <w:tc>
          <w:tcPr>
            <w:tcW w:w="851" w:type="dxa"/>
          </w:tcPr>
          <w:p w:rsidR="00DC01A8" w:rsidRPr="00DC01A8" w:rsidRDefault="00DC01A8" w:rsidP="00D82335">
            <w:pPr>
              <w:rPr>
                <w:rFonts w:ascii="Times New Roman" w:hAnsi="Times New Roman" w:cs="Times New Roman"/>
                <w:sz w:val="20"/>
                <w:szCs w:val="20"/>
              </w:rPr>
            </w:pPr>
            <w:r w:rsidRPr="00DC01A8">
              <w:rPr>
                <w:rFonts w:ascii="Times New Roman" w:hAnsi="Times New Roman" w:cs="Times New Roman"/>
                <w:sz w:val="20"/>
                <w:szCs w:val="20"/>
              </w:rPr>
              <w:t>6,9%</w:t>
            </w:r>
          </w:p>
        </w:tc>
      </w:tr>
    </w:tbl>
    <w:p w:rsidR="00DC01A8" w:rsidRPr="00DC01A8" w:rsidRDefault="00DC01A8" w:rsidP="00DC01A8">
      <w:pPr>
        <w:rPr>
          <w:rFonts w:ascii="Times New Roman" w:hAnsi="Times New Roman" w:cs="Times New Roman"/>
          <w:b/>
          <w:sz w:val="20"/>
          <w:szCs w:val="20"/>
        </w:rPr>
      </w:pPr>
    </w:p>
    <w:p w:rsidR="00DC01A8" w:rsidRPr="00DC01A8" w:rsidRDefault="00DC01A8" w:rsidP="00DC01A8">
      <w:pPr>
        <w:jc w:val="both"/>
        <w:rPr>
          <w:rFonts w:ascii="Times New Roman" w:hAnsi="Times New Roman" w:cs="Times New Roman"/>
          <w:sz w:val="20"/>
          <w:szCs w:val="20"/>
        </w:rPr>
      </w:pPr>
      <w:r w:rsidRPr="00DC01A8">
        <w:rPr>
          <w:rFonts w:ascii="Times New Roman" w:hAnsi="Times New Roman" w:cs="Times New Roman"/>
          <w:sz w:val="20"/>
          <w:szCs w:val="20"/>
        </w:rPr>
        <w:t xml:space="preserve">Au SNES, nous pensons que tous les élèves peuvent réussir et réaffirmons l’objectif  d’une nécessaire élévation générale du niveau de qualification. </w:t>
      </w:r>
      <w:r w:rsidRPr="00DC01A8">
        <w:rPr>
          <w:rFonts w:ascii="Times New Roman" w:hAnsi="Times New Roman" w:cs="Times New Roman"/>
          <w:bCs/>
          <w:sz w:val="20"/>
          <w:szCs w:val="20"/>
        </w:rPr>
        <w:t xml:space="preserve">Les centres d’information et d’orientation (CIO) participent, au sein de l’Education nationale, à la promotion d’une politique de formation et de qualification ambitieuse : lutte contre l’échec scolaire et les </w:t>
      </w:r>
      <w:r w:rsidRPr="00DC01A8">
        <w:rPr>
          <w:rFonts w:ascii="Times New Roman" w:hAnsi="Times New Roman" w:cs="Times New Roman"/>
          <w:sz w:val="20"/>
          <w:szCs w:val="20"/>
        </w:rPr>
        <w:t xml:space="preserve">abandons, aide à tous les élèves pour acquérir une formation et une qualification avant leur sortie de l’Ecole. </w:t>
      </w:r>
    </w:p>
    <w:sectPr w:rsidR="00DC01A8" w:rsidRPr="00DC01A8" w:rsidSect="00A56AB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410" w:rsidRDefault="00D57410" w:rsidP="00DC01A8">
      <w:pPr>
        <w:spacing w:after="0" w:line="240" w:lineRule="auto"/>
      </w:pPr>
      <w:r>
        <w:separator/>
      </w:r>
    </w:p>
  </w:endnote>
  <w:endnote w:type="continuationSeparator" w:id="1">
    <w:p w:rsidR="00D57410" w:rsidRDefault="00D57410" w:rsidP="00DC01A8">
      <w:pPr>
        <w:spacing w:after="0" w:line="240" w:lineRule="auto"/>
      </w:pPr>
      <w:r>
        <w:continuationSeparator/>
      </w:r>
    </w:p>
  </w:endnote>
  <w:endnote w:id="2">
    <w:p w:rsidR="00DC01A8" w:rsidRPr="00DC01A8" w:rsidRDefault="00DC01A8" w:rsidP="00DC01A8">
      <w:pPr>
        <w:pStyle w:val="Notedefin"/>
        <w:rPr>
          <w:rFonts w:ascii="Times New Roman" w:hAnsi="Times New Roman" w:cs="Times New Roman"/>
          <w:sz w:val="12"/>
          <w:szCs w:val="12"/>
        </w:rPr>
      </w:pPr>
      <w:r w:rsidRPr="00DC01A8">
        <w:rPr>
          <w:rStyle w:val="Appeldenotedefin"/>
          <w:rFonts w:ascii="Times New Roman" w:hAnsi="Times New Roman" w:cs="Times New Roman"/>
          <w:sz w:val="12"/>
          <w:szCs w:val="12"/>
        </w:rPr>
        <w:endnoteRef/>
      </w:r>
      <w:r w:rsidRPr="00DC01A8">
        <w:rPr>
          <w:rFonts w:ascii="Times New Roman" w:hAnsi="Times New Roman" w:cs="Times New Roman"/>
          <w:sz w:val="12"/>
          <w:szCs w:val="12"/>
        </w:rPr>
        <w:t xml:space="preserve"> Observatoire régional de l’emploi et de la formation de la Région Provence-Alpes-Côte d’Azur, </w:t>
      </w:r>
      <w:r w:rsidRPr="00DC01A8">
        <w:rPr>
          <w:rFonts w:ascii="Times New Roman" w:hAnsi="Times New Roman" w:cs="Times New Roman"/>
          <w:i/>
          <w:sz w:val="12"/>
          <w:szCs w:val="12"/>
        </w:rPr>
        <w:t>Territoires et qualifications Analyse de la relation Formation-Emploi sur la Zone de Marseille-Aubagne,</w:t>
      </w:r>
      <w:r w:rsidRPr="00DC01A8">
        <w:rPr>
          <w:rFonts w:ascii="Times New Roman" w:hAnsi="Times New Roman" w:cs="Times New Roman"/>
          <w:sz w:val="12"/>
          <w:szCs w:val="12"/>
        </w:rPr>
        <w:t xml:space="preserve"> Outils d’analyse numéro 15 Février 2013</w:t>
      </w:r>
    </w:p>
    <w:p w:rsidR="00DC01A8" w:rsidRPr="00DC01A8" w:rsidRDefault="00DC01A8" w:rsidP="00DC01A8">
      <w:pPr>
        <w:pStyle w:val="Notedefin"/>
        <w:rPr>
          <w:rFonts w:ascii="Times New Roman" w:hAnsi="Times New Roman" w:cs="Times New Roman"/>
          <w:sz w:val="12"/>
          <w:szCs w:val="12"/>
        </w:rPr>
      </w:pPr>
    </w:p>
  </w:endnote>
  <w:endnote w:id="3">
    <w:p w:rsidR="00DC01A8" w:rsidRPr="00DC01A8" w:rsidRDefault="00DC01A8" w:rsidP="00DC01A8">
      <w:pPr>
        <w:pStyle w:val="Notedefin"/>
        <w:rPr>
          <w:rFonts w:ascii="Times New Roman" w:hAnsi="Times New Roman" w:cs="Times New Roman"/>
          <w:sz w:val="12"/>
          <w:szCs w:val="12"/>
        </w:rPr>
      </w:pPr>
      <w:r w:rsidRPr="00DC01A8">
        <w:rPr>
          <w:rStyle w:val="Appeldenotedefin"/>
          <w:rFonts w:ascii="Times New Roman" w:hAnsi="Times New Roman" w:cs="Times New Roman"/>
          <w:sz w:val="12"/>
          <w:szCs w:val="12"/>
        </w:rPr>
        <w:endnoteRef/>
      </w:r>
      <w:r w:rsidRPr="00DC01A8">
        <w:rPr>
          <w:rFonts w:ascii="Times New Roman" w:hAnsi="Times New Roman" w:cs="Times New Roman"/>
          <w:sz w:val="12"/>
          <w:szCs w:val="12"/>
        </w:rPr>
        <w:t xml:space="preserve"> Interview dans Alternatives Economiques n°307, novembre 2011 de Louis Maurin (journaliste et</w:t>
      </w:r>
      <w:r w:rsidRPr="00DC01A8">
        <w:rPr>
          <w:rFonts w:ascii="Times New Roman" w:hAnsi="Times New Roman" w:cs="Times New Roman"/>
          <w:bCs/>
          <w:sz w:val="12"/>
          <w:szCs w:val="12"/>
        </w:rPr>
        <w:t xml:space="preserve"> directeur de l’Observatoire des inégalités :</w:t>
      </w:r>
      <w:r w:rsidRPr="00DC01A8">
        <w:rPr>
          <w:rFonts w:ascii="Times New Roman" w:hAnsi="Times New Roman" w:cs="Times New Roman"/>
          <w:sz w:val="12"/>
          <w:szCs w:val="12"/>
        </w:rPr>
        <w:t xml:space="preserve"> « </w:t>
      </w:r>
      <w:r w:rsidRPr="00DC01A8">
        <w:rPr>
          <w:rFonts w:ascii="Times New Roman" w:hAnsi="Times New Roman" w:cs="Times New Roman"/>
          <w:i/>
          <w:sz w:val="12"/>
          <w:szCs w:val="12"/>
        </w:rPr>
        <w:t>Les villes les plus inégalitaires</w:t>
      </w:r>
      <w:r w:rsidRPr="00DC01A8">
        <w:rPr>
          <w:rFonts w:ascii="Times New Roman" w:hAnsi="Times New Roman" w:cs="Times New Roman"/>
          <w:sz w:val="12"/>
          <w:szCs w:val="12"/>
        </w:rPr>
        <w:t> ».</w:t>
      </w:r>
    </w:p>
  </w:endnote>
  <w:endnote w:id="4">
    <w:p w:rsidR="00DC01A8" w:rsidRPr="00DC01A8" w:rsidRDefault="00DC01A8" w:rsidP="00DC01A8">
      <w:pPr>
        <w:pStyle w:val="NormalWeb"/>
        <w:rPr>
          <w:sz w:val="12"/>
          <w:szCs w:val="12"/>
        </w:rPr>
      </w:pPr>
      <w:r w:rsidRPr="00DC01A8">
        <w:rPr>
          <w:rStyle w:val="Appeldenotedefin"/>
          <w:sz w:val="12"/>
          <w:szCs w:val="12"/>
        </w:rPr>
        <w:endnoteRef/>
      </w:r>
      <w:r w:rsidRPr="00DC01A8">
        <w:rPr>
          <w:sz w:val="12"/>
          <w:szCs w:val="12"/>
        </w:rPr>
        <w:t xml:space="preserve"> Interview dans l’Humanité le 27 Avril 2011</w:t>
      </w:r>
      <w:r w:rsidRPr="00DC01A8">
        <w:rPr>
          <w:b/>
          <w:bCs/>
          <w:kern w:val="36"/>
          <w:sz w:val="12"/>
          <w:szCs w:val="12"/>
        </w:rPr>
        <w:t xml:space="preserve"> </w:t>
      </w:r>
      <w:r w:rsidRPr="00DC01A8">
        <w:rPr>
          <w:sz w:val="12"/>
          <w:szCs w:val="12"/>
        </w:rPr>
        <w:t>d’André Donzel (sociologue, chercheur au CNRS) : « </w:t>
      </w:r>
      <w:r w:rsidRPr="00DC01A8">
        <w:rPr>
          <w:i/>
          <w:sz w:val="12"/>
          <w:szCs w:val="12"/>
        </w:rPr>
        <w:t>L’histoire de Marseille, c’est le sens de la cité </w:t>
      </w:r>
      <w:r w:rsidRPr="00DC01A8">
        <w:rPr>
          <w:sz w:val="12"/>
          <w:szCs w:val="12"/>
        </w:rPr>
        <w:t>».</w:t>
      </w:r>
    </w:p>
    <w:p w:rsidR="00DC01A8" w:rsidRPr="00DC01A8" w:rsidRDefault="00DC01A8" w:rsidP="00DC01A8">
      <w:pPr>
        <w:pStyle w:val="NormalWeb"/>
        <w:rPr>
          <w:sz w:val="12"/>
          <w:szCs w:val="12"/>
        </w:rPr>
      </w:pPr>
      <w:r w:rsidRPr="00DC01A8">
        <w:rPr>
          <w:sz w:val="12"/>
          <w:szCs w:val="12"/>
        </w:rPr>
        <w:t>Interview dans la Marseillaise le 28 septembre 2013 d’André Donzel : « </w:t>
      </w:r>
      <w:r w:rsidRPr="00DC01A8">
        <w:rPr>
          <w:i/>
          <w:sz w:val="12"/>
          <w:szCs w:val="12"/>
        </w:rPr>
        <w:t xml:space="preserve">Marseille est la ville la plus inégalitaire de France </w:t>
      </w:r>
      <w:r w:rsidRPr="00DC01A8">
        <w:rPr>
          <w:sz w:val="12"/>
          <w:szCs w:val="12"/>
        </w:rPr>
        <w:t>»</w:t>
      </w:r>
    </w:p>
    <w:p w:rsidR="00DC01A8" w:rsidRPr="00DC01A8" w:rsidRDefault="00DC01A8" w:rsidP="00DC01A8">
      <w:pPr>
        <w:pStyle w:val="Notedefin"/>
        <w:rPr>
          <w:sz w:val="12"/>
          <w:szCs w:val="12"/>
        </w:rPr>
      </w:pPr>
    </w:p>
  </w:endnote>
  <w:endnote w:id="5">
    <w:p w:rsidR="00DC01A8" w:rsidRPr="00DC01A8" w:rsidRDefault="00DC01A8" w:rsidP="00DC01A8">
      <w:pPr>
        <w:pStyle w:val="Notedefin"/>
        <w:rPr>
          <w:rFonts w:ascii="Times New Roman" w:hAnsi="Times New Roman" w:cs="Times New Roman"/>
          <w:sz w:val="12"/>
          <w:szCs w:val="12"/>
        </w:rPr>
      </w:pPr>
      <w:r w:rsidRPr="00DC01A8">
        <w:rPr>
          <w:rStyle w:val="Appeldenotedefin"/>
          <w:rFonts w:ascii="Times New Roman" w:hAnsi="Times New Roman" w:cs="Times New Roman"/>
          <w:sz w:val="12"/>
          <w:szCs w:val="12"/>
        </w:rPr>
        <w:endnoteRef/>
      </w:r>
      <w:r w:rsidRPr="00DC01A8">
        <w:rPr>
          <w:rFonts w:ascii="Times New Roman" w:hAnsi="Times New Roman" w:cs="Times New Roman"/>
          <w:sz w:val="12"/>
          <w:szCs w:val="12"/>
        </w:rPr>
        <w:t xml:space="preserve"> Observatoire régional de l’emploi et de la formation de la Région Provence-Alpes-Côte d’Azur, </w:t>
      </w:r>
      <w:r w:rsidRPr="00DC01A8">
        <w:rPr>
          <w:rFonts w:ascii="Times New Roman" w:hAnsi="Times New Roman" w:cs="Times New Roman"/>
          <w:i/>
          <w:sz w:val="12"/>
          <w:szCs w:val="12"/>
        </w:rPr>
        <w:t>Territoires et qualifications Analyse de la relation Formation-Emploi sur la Zone de Marseille-Aubagne</w:t>
      </w:r>
      <w:r w:rsidRPr="00DC01A8">
        <w:rPr>
          <w:rFonts w:ascii="Times New Roman" w:hAnsi="Times New Roman" w:cs="Times New Roman"/>
          <w:sz w:val="12"/>
          <w:szCs w:val="12"/>
        </w:rPr>
        <w:t>, Outils d’analyse numéro 15 Février 2013</w:t>
      </w:r>
    </w:p>
    <w:p w:rsidR="00DC01A8" w:rsidRPr="00DC01A8" w:rsidRDefault="00DC01A8" w:rsidP="00DC01A8">
      <w:pPr>
        <w:pStyle w:val="Notedefin"/>
        <w:rPr>
          <w:rFonts w:ascii="Times New Roman" w:hAnsi="Times New Roman" w:cs="Times New Roman"/>
          <w:sz w:val="12"/>
          <w:szCs w:val="12"/>
        </w:rPr>
      </w:pPr>
    </w:p>
  </w:endnote>
  <w:endnote w:id="6">
    <w:p w:rsidR="00DC01A8" w:rsidRPr="00DC01A8" w:rsidRDefault="00DC01A8" w:rsidP="00DC01A8">
      <w:pPr>
        <w:pStyle w:val="Notedefin"/>
        <w:rPr>
          <w:rFonts w:ascii="Times New Roman" w:hAnsi="Times New Roman" w:cs="Times New Roman"/>
          <w:sz w:val="12"/>
          <w:szCs w:val="12"/>
        </w:rPr>
      </w:pPr>
      <w:r w:rsidRPr="00DC01A8">
        <w:rPr>
          <w:rStyle w:val="Appeldenotedefin"/>
          <w:rFonts w:ascii="Times New Roman" w:hAnsi="Times New Roman" w:cs="Times New Roman"/>
          <w:sz w:val="12"/>
          <w:szCs w:val="12"/>
        </w:rPr>
        <w:endnoteRef/>
      </w:r>
      <w:r w:rsidRPr="00DC01A8">
        <w:rPr>
          <w:rFonts w:ascii="Times New Roman" w:hAnsi="Times New Roman" w:cs="Times New Roman"/>
          <w:sz w:val="12"/>
          <w:szCs w:val="12"/>
        </w:rPr>
        <w:t xml:space="preserve"> Observatoire régional de l’emploi et de la formation de la Région Provence-Alpes-Côte d’Azur, </w:t>
      </w:r>
      <w:r w:rsidRPr="00DC01A8">
        <w:rPr>
          <w:rFonts w:ascii="Times New Roman" w:hAnsi="Times New Roman" w:cs="Times New Roman"/>
          <w:i/>
          <w:sz w:val="12"/>
          <w:szCs w:val="12"/>
        </w:rPr>
        <w:t>Territoires et qualifications Analyse de la relation Formation-Emploi sur la Zone de Marseille-Aubagne</w:t>
      </w:r>
      <w:r w:rsidRPr="00DC01A8">
        <w:rPr>
          <w:rFonts w:ascii="Times New Roman" w:hAnsi="Times New Roman" w:cs="Times New Roman"/>
          <w:sz w:val="12"/>
          <w:szCs w:val="12"/>
        </w:rPr>
        <w:t>, Outils d’analyse numéro 15 Février 2013</w:t>
      </w:r>
    </w:p>
    <w:p w:rsidR="00DC01A8" w:rsidRPr="00DC01A8" w:rsidRDefault="00DC01A8" w:rsidP="00DC01A8">
      <w:pPr>
        <w:pStyle w:val="Notedefin"/>
        <w:rPr>
          <w:rFonts w:ascii="Times New Roman" w:hAnsi="Times New Roman" w:cs="Times New Roman"/>
          <w:sz w:val="12"/>
          <w:szCs w:val="12"/>
        </w:rPr>
      </w:pPr>
    </w:p>
  </w:endnote>
  <w:endnote w:id="7">
    <w:p w:rsidR="00DC01A8" w:rsidRPr="00DC01A8" w:rsidRDefault="00DC01A8" w:rsidP="00DC01A8">
      <w:pPr>
        <w:autoSpaceDE w:val="0"/>
        <w:autoSpaceDN w:val="0"/>
        <w:adjustRightInd w:val="0"/>
        <w:spacing w:after="0" w:line="240" w:lineRule="auto"/>
        <w:rPr>
          <w:rFonts w:ascii="Times New Roman" w:hAnsi="Times New Roman" w:cs="Times New Roman"/>
          <w:bCs/>
          <w:iCs/>
          <w:sz w:val="12"/>
          <w:szCs w:val="12"/>
        </w:rPr>
      </w:pPr>
      <w:r w:rsidRPr="00DC01A8">
        <w:rPr>
          <w:rStyle w:val="Appeldenotedefin"/>
          <w:sz w:val="12"/>
          <w:szCs w:val="12"/>
        </w:rPr>
        <w:endnoteRef/>
      </w:r>
      <w:r w:rsidRPr="00DC01A8">
        <w:rPr>
          <w:sz w:val="12"/>
          <w:szCs w:val="12"/>
        </w:rPr>
        <w:t xml:space="preserve"> </w:t>
      </w:r>
      <w:r w:rsidRPr="00DC01A8">
        <w:rPr>
          <w:rFonts w:ascii="Times New Roman" w:hAnsi="Times New Roman" w:cs="Times New Roman"/>
          <w:sz w:val="12"/>
          <w:szCs w:val="12"/>
        </w:rPr>
        <w:t xml:space="preserve">Rectorat d’Aix-Marseille, DAEC, </w:t>
      </w:r>
      <w:r w:rsidRPr="00DC01A8">
        <w:rPr>
          <w:rFonts w:ascii="Times New Roman" w:hAnsi="Times New Roman" w:cs="Times New Roman"/>
          <w:bCs/>
          <w:iCs/>
          <w:sz w:val="12"/>
          <w:szCs w:val="12"/>
        </w:rPr>
        <w:t xml:space="preserve">Note de </w:t>
      </w:r>
      <w:r w:rsidRPr="00DC01A8">
        <w:rPr>
          <w:rFonts w:ascii="Times New Roman" w:hAnsi="Times New Roman" w:cs="Times New Roman"/>
          <w:iCs/>
          <w:sz w:val="12"/>
          <w:szCs w:val="12"/>
        </w:rPr>
        <w:t xml:space="preserve">Conjoncture </w:t>
      </w:r>
      <w:r w:rsidRPr="00DC01A8">
        <w:rPr>
          <w:rFonts w:ascii="Times New Roman" w:hAnsi="Times New Roman" w:cs="Times New Roman"/>
          <w:bCs/>
          <w:iCs/>
          <w:sz w:val="12"/>
          <w:szCs w:val="12"/>
        </w:rPr>
        <w:t xml:space="preserve">&amp; </w:t>
      </w:r>
      <w:r w:rsidRPr="00DC01A8">
        <w:rPr>
          <w:rFonts w:ascii="Times New Roman" w:hAnsi="Times New Roman" w:cs="Times New Roman"/>
          <w:bCs/>
          <w:sz w:val="12"/>
          <w:szCs w:val="12"/>
        </w:rPr>
        <w:t xml:space="preserve">d’Information, </w:t>
      </w:r>
      <w:r w:rsidRPr="00DC01A8">
        <w:rPr>
          <w:rFonts w:ascii="Times New Roman" w:hAnsi="Times New Roman" w:cs="Times New Roman"/>
          <w:i/>
          <w:sz w:val="12"/>
          <w:szCs w:val="12"/>
        </w:rPr>
        <w:t>Suivi de cohorte 6</w:t>
      </w:r>
      <w:r w:rsidRPr="00DC01A8">
        <w:rPr>
          <w:rFonts w:ascii="Times New Roman" w:hAnsi="Times New Roman" w:cs="Times New Roman"/>
          <w:i/>
          <w:sz w:val="12"/>
          <w:szCs w:val="12"/>
          <w:vertAlign w:val="superscript"/>
        </w:rPr>
        <w:t>ème</w:t>
      </w:r>
      <w:r w:rsidRPr="00DC01A8">
        <w:rPr>
          <w:rFonts w:ascii="Times New Roman" w:hAnsi="Times New Roman" w:cs="Times New Roman"/>
          <w:i/>
          <w:sz w:val="12"/>
          <w:szCs w:val="12"/>
        </w:rPr>
        <w:t xml:space="preserve"> Génération 2007, Collèges publics et privés sous contrat</w:t>
      </w:r>
      <w:r w:rsidRPr="00DC01A8">
        <w:rPr>
          <w:rFonts w:ascii="Times New Roman" w:hAnsi="Times New Roman" w:cs="Times New Roman"/>
          <w:sz w:val="12"/>
          <w:szCs w:val="12"/>
        </w:rPr>
        <w:t>, présentation par ordre croissant de RNE, Mai 2013 (fiche RNE 0131603X – Marseille 8</w:t>
      </w:r>
      <w:r w:rsidRPr="00DC01A8">
        <w:rPr>
          <w:rFonts w:ascii="Times New Roman" w:hAnsi="Times New Roman" w:cs="Times New Roman"/>
          <w:sz w:val="12"/>
          <w:szCs w:val="12"/>
          <w:vertAlign w:val="superscript"/>
        </w:rPr>
        <w:t>ème</w:t>
      </w:r>
      <w:r w:rsidRPr="00DC01A8">
        <w:rPr>
          <w:rFonts w:ascii="Times New Roman" w:hAnsi="Times New Roman" w:cs="Times New Roman"/>
          <w:sz w:val="12"/>
          <w:szCs w:val="12"/>
        </w:rPr>
        <w:t xml:space="preserve"> – Adolphe Monticelli</w:t>
      </w:r>
      <w:r w:rsidRPr="00DC01A8">
        <w:rPr>
          <w:rFonts w:ascii="Times New Roman" w:hAnsi="Times New Roman" w:cs="Times New Roman"/>
          <w:b/>
          <w:bCs/>
          <w:color w:val="65659B"/>
          <w:sz w:val="12"/>
          <w:szCs w:val="12"/>
        </w:rPr>
        <w:t xml:space="preserve"> ; fiche </w:t>
      </w:r>
      <w:r w:rsidRPr="00DC01A8">
        <w:rPr>
          <w:rFonts w:ascii="Times New Roman" w:hAnsi="Times New Roman" w:cs="Times New Roman"/>
          <w:sz w:val="12"/>
          <w:szCs w:val="12"/>
        </w:rPr>
        <w:t>RNE 0131704G - Marseille 15</w:t>
      </w:r>
      <w:r w:rsidRPr="00DC01A8">
        <w:rPr>
          <w:rFonts w:ascii="Times New Roman" w:hAnsi="Times New Roman" w:cs="Times New Roman"/>
          <w:sz w:val="12"/>
          <w:szCs w:val="12"/>
          <w:vertAlign w:val="superscript"/>
        </w:rPr>
        <w:t xml:space="preserve">E </w:t>
      </w:r>
      <w:r w:rsidRPr="00DC01A8">
        <w:rPr>
          <w:rFonts w:ascii="Times New Roman" w:hAnsi="Times New Roman" w:cs="Times New Roman"/>
          <w:sz w:val="12"/>
          <w:szCs w:val="12"/>
        </w:rPr>
        <w:t>-Arthur Rimbaud )</w:t>
      </w:r>
    </w:p>
    <w:p w:rsidR="00DC01A8" w:rsidRPr="00DC01A8" w:rsidRDefault="00DC01A8" w:rsidP="00DC01A8">
      <w:pPr>
        <w:pStyle w:val="Notedefin"/>
        <w:rPr>
          <w:sz w:val="12"/>
          <w:szCs w:val="12"/>
        </w:rPr>
      </w:pPr>
    </w:p>
  </w:endnote>
  <w:endnote w:id="8">
    <w:p w:rsidR="00DC01A8" w:rsidRPr="00DC01A8" w:rsidRDefault="00DC01A8" w:rsidP="00DC01A8">
      <w:pPr>
        <w:pStyle w:val="Notedefin"/>
        <w:rPr>
          <w:sz w:val="12"/>
          <w:szCs w:val="12"/>
        </w:rPr>
      </w:pPr>
      <w:r w:rsidRPr="00DC01A8">
        <w:rPr>
          <w:rStyle w:val="Appeldenotedefin"/>
          <w:sz w:val="12"/>
          <w:szCs w:val="12"/>
        </w:rPr>
        <w:endnoteRef/>
      </w:r>
      <w:r w:rsidRPr="00DC01A8">
        <w:rPr>
          <w:sz w:val="12"/>
          <w:szCs w:val="12"/>
        </w:rPr>
        <w:t xml:space="preserve"> PCS :  Professions et Catégorie socio-professionnelles</w:t>
      </w:r>
    </w:p>
    <w:p w:rsidR="00DC01A8" w:rsidRPr="00DC01A8" w:rsidRDefault="00DC01A8" w:rsidP="00DC01A8">
      <w:pPr>
        <w:pStyle w:val="Notedefin"/>
        <w:rPr>
          <w:sz w:val="12"/>
          <w:szCs w:val="12"/>
        </w:rPr>
      </w:pPr>
    </w:p>
  </w:endnote>
  <w:endnote w:id="9">
    <w:p w:rsidR="00DC01A8" w:rsidRPr="00DC01A8" w:rsidRDefault="00DC01A8" w:rsidP="00DC01A8">
      <w:pPr>
        <w:pStyle w:val="Notedefin"/>
        <w:rPr>
          <w:sz w:val="12"/>
          <w:szCs w:val="12"/>
        </w:rPr>
      </w:pPr>
      <w:r w:rsidRPr="00DC01A8">
        <w:rPr>
          <w:rStyle w:val="Appeldenotedefin"/>
          <w:sz w:val="12"/>
          <w:szCs w:val="12"/>
        </w:rPr>
        <w:endnoteRef/>
      </w:r>
      <w:r w:rsidRPr="00DC01A8">
        <w:rPr>
          <w:sz w:val="12"/>
          <w:szCs w:val="12"/>
        </w:rPr>
        <w:t xml:space="preserve"> Taux attendu : le taux attendu construit en appliquent à chaque élève le taux académique constaté parmi les élèves ayant les mêmes caractéristiques socio-scolaires (PCS du chef de famille, âge, sexe, boursier ou non…) au sein de la même catégorie de la typologie des collèges (5 catégories dans le public).</w:t>
      </w:r>
    </w:p>
    <w:p w:rsidR="00DC01A8" w:rsidRPr="00DC01A8" w:rsidRDefault="00DC01A8" w:rsidP="00DC01A8">
      <w:pPr>
        <w:pStyle w:val="Notedefin"/>
        <w:rPr>
          <w:sz w:val="12"/>
          <w:szCs w:val="12"/>
        </w:rPr>
      </w:pPr>
    </w:p>
  </w:endnote>
  <w:endnote w:id="10">
    <w:p w:rsidR="00DC01A8" w:rsidRDefault="00DC01A8" w:rsidP="00DC01A8">
      <w:pPr>
        <w:pStyle w:val="Notedefin"/>
      </w:pPr>
      <w:r w:rsidRPr="00DC01A8">
        <w:rPr>
          <w:rStyle w:val="Appeldenotedefin"/>
          <w:sz w:val="12"/>
          <w:szCs w:val="12"/>
        </w:rPr>
        <w:endnoteRef/>
      </w:r>
      <w:r w:rsidRPr="00DC01A8">
        <w:rPr>
          <w:sz w:val="12"/>
          <w:szCs w:val="12"/>
        </w:rPr>
        <w:t xml:space="preserve"> </w:t>
      </w:r>
      <w:r w:rsidRPr="00DC01A8">
        <w:rPr>
          <w:rFonts w:ascii="Times New Roman" w:hAnsi="Times New Roman" w:cs="Times New Roman"/>
          <w:sz w:val="12"/>
          <w:szCs w:val="12"/>
        </w:rPr>
        <w:t xml:space="preserve">Rectorat d’Aix-Marseille, DAEC </w:t>
      </w:r>
      <w:r w:rsidRPr="00DC01A8">
        <w:rPr>
          <w:rFonts w:ascii="Times New Roman" w:hAnsi="Times New Roman" w:cs="Times New Roman"/>
          <w:bCs/>
          <w:iCs/>
          <w:sz w:val="12"/>
          <w:szCs w:val="12"/>
        </w:rPr>
        <w:t xml:space="preserve">Note de </w:t>
      </w:r>
      <w:r w:rsidRPr="00DC01A8">
        <w:rPr>
          <w:rFonts w:ascii="Times New Roman" w:hAnsi="Times New Roman" w:cs="Times New Roman"/>
          <w:iCs/>
          <w:sz w:val="12"/>
          <w:szCs w:val="12"/>
        </w:rPr>
        <w:t xml:space="preserve">Conjoncture </w:t>
      </w:r>
      <w:r w:rsidRPr="00DC01A8">
        <w:rPr>
          <w:rFonts w:ascii="Times New Roman" w:hAnsi="Times New Roman" w:cs="Times New Roman"/>
          <w:bCs/>
          <w:iCs/>
          <w:sz w:val="12"/>
          <w:szCs w:val="12"/>
        </w:rPr>
        <w:t xml:space="preserve">&amp; </w:t>
      </w:r>
      <w:r w:rsidRPr="00DC01A8">
        <w:rPr>
          <w:rFonts w:ascii="Times New Roman" w:hAnsi="Times New Roman" w:cs="Times New Roman"/>
          <w:bCs/>
          <w:sz w:val="12"/>
          <w:szCs w:val="12"/>
        </w:rPr>
        <w:t xml:space="preserve">d’Information  </w:t>
      </w:r>
      <w:r w:rsidRPr="00DC01A8">
        <w:rPr>
          <w:rFonts w:ascii="Times New Roman" w:hAnsi="Times New Roman" w:cs="Times New Roman"/>
          <w:i/>
          <w:sz w:val="12"/>
          <w:szCs w:val="12"/>
        </w:rPr>
        <w:t>Devenir de la cohorte des élèves de 2</w:t>
      </w:r>
      <w:r w:rsidRPr="00DC01A8">
        <w:rPr>
          <w:rFonts w:ascii="Times New Roman" w:hAnsi="Times New Roman" w:cs="Times New Roman"/>
          <w:i/>
          <w:sz w:val="12"/>
          <w:szCs w:val="12"/>
          <w:vertAlign w:val="superscript"/>
        </w:rPr>
        <w:t>nde</w:t>
      </w:r>
      <w:r w:rsidRPr="00DC01A8">
        <w:rPr>
          <w:rFonts w:ascii="Times New Roman" w:hAnsi="Times New Roman" w:cs="Times New Roman"/>
          <w:i/>
          <w:sz w:val="12"/>
          <w:szCs w:val="12"/>
        </w:rPr>
        <w:t xml:space="preserve"> en 2007-2007, </w:t>
      </w:r>
      <w:r w:rsidRPr="00DC01A8">
        <w:rPr>
          <w:rFonts w:ascii="Times New Roman" w:hAnsi="Times New Roman" w:cs="Times New Roman"/>
          <w:bCs/>
          <w:i/>
          <w:sz w:val="12"/>
          <w:szCs w:val="12"/>
        </w:rPr>
        <w:t>Analyse de la composition des classes rentrée 2011 et devenir à la rentrée 2012</w:t>
      </w:r>
      <w:r w:rsidRPr="00DC01A8">
        <w:rPr>
          <w:rFonts w:ascii="Times New Roman" w:hAnsi="Times New Roman" w:cs="Times New Roman"/>
          <w:sz w:val="12"/>
          <w:szCs w:val="12"/>
        </w:rPr>
        <w:t>,  juin 2013 (fiche RNE 0130036U - Périer-Marseille 8E ; fiche RNE 0130048G -  Saint Exupéry – Marseille 15</w:t>
      </w:r>
      <w:r w:rsidRPr="00DC01A8">
        <w:rPr>
          <w:rFonts w:ascii="Times New Roman" w:hAnsi="Times New Roman" w:cs="Times New Roman"/>
          <w:sz w:val="12"/>
          <w:szCs w:val="12"/>
          <w:vertAlign w:val="superscript"/>
        </w:rPr>
        <w:t>E</w:t>
      </w:r>
      <w:r w:rsidRPr="00DC01A8">
        <w:rPr>
          <w:rFonts w:ascii="Times New Roman" w:hAnsi="Times New Roman" w:cs="Times New Roman"/>
          <w:sz w:val="12"/>
          <w:szCs w:val="12"/>
        </w:rPr>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410" w:rsidRDefault="00D57410" w:rsidP="00DC01A8">
      <w:pPr>
        <w:spacing w:after="0" w:line="240" w:lineRule="auto"/>
      </w:pPr>
      <w:r>
        <w:separator/>
      </w:r>
    </w:p>
  </w:footnote>
  <w:footnote w:type="continuationSeparator" w:id="1">
    <w:p w:rsidR="00D57410" w:rsidRDefault="00D57410" w:rsidP="00DC01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B089A"/>
    <w:multiLevelType w:val="hybridMultilevel"/>
    <w:tmpl w:val="B53E78D2"/>
    <w:lvl w:ilvl="0" w:tplc="4B3CC352">
      <w:start w:val="2"/>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68B36B4F"/>
    <w:multiLevelType w:val="hybridMultilevel"/>
    <w:tmpl w:val="F07A38B2"/>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10E71C2"/>
    <w:multiLevelType w:val="hybridMultilevel"/>
    <w:tmpl w:val="6CDCC730"/>
    <w:lvl w:ilvl="0" w:tplc="1C9AA9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4604E16"/>
    <w:multiLevelType w:val="hybridMultilevel"/>
    <w:tmpl w:val="DF1E2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DC01A8"/>
    <w:rsid w:val="00A56AB5"/>
    <w:rsid w:val="00D57410"/>
    <w:rsid w:val="00DC01A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1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01A8"/>
    <w:pPr>
      <w:ind w:left="720"/>
      <w:contextualSpacing/>
    </w:pPr>
  </w:style>
  <w:style w:type="table" w:styleId="Grilledutableau">
    <w:name w:val="Table Grid"/>
    <w:basedOn w:val="TableauNormal"/>
    <w:uiPriority w:val="59"/>
    <w:rsid w:val="00DC0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link w:val="NotedefinCar"/>
    <w:uiPriority w:val="99"/>
    <w:unhideWhenUsed/>
    <w:rsid w:val="00DC01A8"/>
    <w:pPr>
      <w:spacing w:after="0" w:line="240" w:lineRule="auto"/>
    </w:pPr>
    <w:rPr>
      <w:sz w:val="20"/>
      <w:szCs w:val="20"/>
    </w:rPr>
  </w:style>
  <w:style w:type="character" w:customStyle="1" w:styleId="NotedefinCar">
    <w:name w:val="Note de fin Car"/>
    <w:basedOn w:val="Policepardfaut"/>
    <w:link w:val="Notedefin"/>
    <w:uiPriority w:val="99"/>
    <w:rsid w:val="00DC01A8"/>
    <w:rPr>
      <w:sz w:val="20"/>
      <w:szCs w:val="20"/>
    </w:rPr>
  </w:style>
  <w:style w:type="character" w:styleId="Appeldenotedefin">
    <w:name w:val="endnote reference"/>
    <w:basedOn w:val="Policepardfaut"/>
    <w:uiPriority w:val="99"/>
    <w:semiHidden/>
    <w:unhideWhenUsed/>
    <w:rsid w:val="00DC01A8"/>
    <w:rPr>
      <w:vertAlign w:val="superscript"/>
    </w:rPr>
  </w:style>
  <w:style w:type="paragraph" w:styleId="NormalWeb">
    <w:name w:val="Normal (Web)"/>
    <w:basedOn w:val="Normal"/>
    <w:uiPriority w:val="99"/>
    <w:unhideWhenUsed/>
    <w:rsid w:val="00DC01A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1015</Words>
  <Characters>5587</Characters>
  <Application>Microsoft Office Word</Application>
  <DocSecurity>0</DocSecurity>
  <Lines>46</Lines>
  <Paragraphs>13</Paragraphs>
  <ScaleCrop>false</ScaleCrop>
  <Company/>
  <LinksUpToDate>false</LinksUpToDate>
  <CharactersWithSpaces>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Tramoni Laurent</dc:creator>
  <cp:lastModifiedBy>Tramoni Laurent</cp:lastModifiedBy>
  <cp:revision>1</cp:revision>
  <cp:lastPrinted>2013-11-08T07:54:00Z</cp:lastPrinted>
  <dcterms:created xsi:type="dcterms:W3CDTF">2013-11-08T07:51:00Z</dcterms:created>
  <dcterms:modified xsi:type="dcterms:W3CDTF">2013-11-08T07:58:00Z</dcterms:modified>
</cp:coreProperties>
</file>